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395730" cy="121285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395730" cy="121285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-6998</wp:posOffset>
                </wp:positionH>
                <wp:positionV relativeFrom="paragraph">
                  <wp:posOffset>189230</wp:posOffset>
                </wp:positionV>
                <wp:extent cx="5295584" cy="104157"/>
                <wp:wrapNone/>
                <wp:docPr id="4" name="Rectangle 2"/>
                <a:graphic xmlns:a="http://schemas.openxmlformats.org/drawingml/2006/main">
                  <a:graphicData uri="http://schemas.microsoft.com/office/word/2010/wordprocessingShape">
                    <wps:wsp>
                      <wps:cNvSpPr/>
                      <wps:spPr>
                        <a:xfrm>
                          <a:off x="0" y="0"/>
                          <a:ext cx="5295584"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Residential Officer – HMPYOI Grampian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Situational Judgement Test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Cognitive Ability Test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Group &amp; Written Exercise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Core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90"/>
        <w:gridCol w:w="2409"/>
        <w:gridCol w:w="2240"/>
      </w:tblGrid>
      <w:tr>
        <w:trPr>
          <w:trHeight w:val="429" w:hRule="atLeast"/>
        </w:trPr>
        <w:tc>
          <w:tcPr>
            <w:tcW w:w="4390"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Numeracy &amp; Literacy Skills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An ability to comprehend written passages, perform basis mathematical functions, draw logical conclusions and identify patterns.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p>
        </w:tc>
        <w:tc>
          <w:tcPr>
            <w:tcW w:w="2409" w:type="dxa"/>
            <w:tcBorders>
              <w:top w:val="single" w:sz="4" w:space="0" w:color="92CDDC"/>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40" w:type="dxa"/>
            <w:tcBorders>
              <w:top w:val="single" w:sz="4" w:space="0" w:color="92CDDC"/>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sz w:val="22"/>
                <w:szCs w:val="22"/>
                <w:lang w:val="en-GB" w:eastAsia="en-GB" w:bidi="en-GB"/>
              </w:rPr>
              <w:t xml:space="preserve">Cognitive Ability Test</w:t>
            </w:r>
          </w:p>
        </w:tc>
      </w:tr>
      <w:tr>
        <w:trPr>
          <w:trHeight w:val="429" w:hRule="atLeast"/>
        </w:trPr>
        <w:tc>
          <w:tcPr>
            <w:tcW w:w="439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Personal values which are aligned to and consistent with SPS Values.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Belief - </w:t>
            </w:r>
            <w:r>
              <w:rPr>
                <w:rFonts w:ascii="Arial" w:hAnsi="Arial" w:eastAsia="Arial" w:cs="Arial"/>
                <w:sz w:val="22"/>
                <w:szCs w:val="22"/>
                <w:lang w:val="en-GB" w:eastAsia="en-GB" w:bidi="en-GB"/>
              </w:rPr>
              <w:t xml:space="preserve">we believe that people can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Respect - </w:t>
            </w:r>
            <w:r>
              <w:rPr>
                <w:rFonts w:ascii="Arial" w:hAnsi="Arial" w:eastAsia="Arial" w:cs="Arial"/>
                <w:sz w:val="22"/>
                <w:szCs w:val="22"/>
                <w:lang w:val="en-GB" w:eastAsia="en-GB" w:bidi="en-GB"/>
              </w:rPr>
              <w:t xml:space="preserve">we are inclusive, respecting the needs, rights and voices of everyone equitably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Integrity - </w:t>
            </w:r>
            <w:r>
              <w:rPr>
                <w:rFonts w:ascii="Arial" w:hAnsi="Arial" w:eastAsia="Arial" w:cs="Arial"/>
                <w:sz w:val="22"/>
                <w:szCs w:val="22"/>
                <w:lang w:val="en-GB" w:eastAsia="en-GB" w:bidi="en-GB"/>
              </w:rPr>
              <w:t xml:space="preserve">we have high ethical, moral and professional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Openness - </w:t>
            </w:r>
            <w:r>
              <w:rPr>
                <w:rFonts w:ascii="Arial" w:hAnsi="Arial" w:eastAsia="Arial" w:cs="Arial"/>
                <w:sz w:val="22"/>
                <w:szCs w:val="22"/>
                <w:lang w:val="en-GB" w:eastAsia="en-GB" w:bidi="en-GB"/>
              </w:rPr>
              <w:t xml:space="preserve">we work with others to achieve the best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Compassion - </w:t>
            </w:r>
            <w:r>
              <w:rPr>
                <w:rFonts w:ascii="Arial" w:hAnsi="Arial" w:eastAsia="Arial" w:cs="Arial"/>
                <w:sz w:val="22"/>
                <w:szCs w:val="22"/>
                <w:lang w:val="en-GB" w:eastAsia="en-GB" w:bidi="en-GB"/>
              </w:rPr>
              <w:t xml:space="preserve">we care about people and believe that positive relationships are a critical enabler of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Humility - </w:t>
            </w:r>
            <w:r>
              <w:rPr>
                <w:rFonts w:ascii="Arial" w:hAnsi="Arial" w:eastAsia="Arial" w:cs="Arial"/>
                <w:sz w:val="22"/>
                <w:szCs w:val="22"/>
                <w:lang w:val="en-GB" w:eastAsia="en-GB" w:bidi="en-GB"/>
              </w:rPr>
              <w:t xml:space="preserve">we cannot do this on our own, we recognise that we need to work with and learn from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sz w:val="22"/>
                <w:szCs w:val="22"/>
                <w:lang w:val="en-GB" w:eastAsia="en-GB" w:bidi="en-GB"/>
              </w:rPr>
              <w:t xml:space="preserve">Innovation - </w:t>
            </w:r>
            <w:r>
              <w:rPr>
                <w:rFonts w:ascii="Arial" w:hAnsi="Arial" w:eastAsia="Arial" w:cs="Arial"/>
                <w:sz w:val="22"/>
                <w:szCs w:val="22"/>
                <w:lang w:val="en-GB" w:eastAsia="en-GB" w:bidi="en-GB"/>
              </w:rPr>
              <w:t xml:space="preserve">we continually find ways to improve the delivery of prison services in Scotland</w:t>
            </w:r>
          </w:p>
        </w:tc>
        <w:tc>
          <w:tcPr>
            <w:tcW w:w="2409" w:type="dxa"/>
            <w:tcBorders>
              <w:bottom w:val="single" w:sz="4" w:space="0" w:color="92CDDC"/>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Essential</w:t>
            </w:r>
          </w:p>
        </w:tc>
        <w:tc>
          <w:tcPr>
            <w:tcW w:w="2240" w:type="dxa"/>
            <w:tcBorders>
              <w:bottom w:val="single" w:sz="4" w:space="0" w:color="92CDDC"/>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Situational Judgement Test</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Supporting Others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providing support, advice or guidance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Making a Difference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Experience of making a positive difference to the lives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2" w:hRule="atLeast"/>
        </w:trPr>
        <w:tc>
          <w:tcPr>
            <w:tcW w:w="4361" w:type="dxa"/>
            <w:shd w:val="clear" w:color="auto" w:fill="DAEEF3"/>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Resilience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Experience of managing challenging circumstances or behaviours, using your emotional intelligence to prevent or resolve conflict, regulate your own emotional reactions and positively influencing others to achieve desired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2" w:hRule="atLeast"/>
        </w:trPr>
        <w:tc>
          <w:tcPr>
            <w:tcW w:w="4361" w:type="dxa"/>
            <w:tcBorders>
              <w:bottom w:val="single" w:sz="4" w:space="0" w:color="92CDDC"/>
            </w:tcBorders>
            <w:shd w:val="clear" w:color="auto" w:fill="DAEEF3"/>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Managing Information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Ability to use a computer and other digital devices to process, analyse, evaluate and disseminate information and produce high quality written reports and maintain effective and accurate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Written Exercise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Develop Ourselves &amp; Others</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sdt>
              <w:sdtPr>
                <w:id w:val="7"/>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Written Exercise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Relationships &amp; Collaboration</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sdt>
              <w:sdtPr>
                <w:id w:val="9"/>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Group Exercise</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Solve Problems &amp; Make Decisions</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1"/>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Group Exercise</w:t>
            </w:r>
          </w:p>
        </w:tc>
      </w:tr>
      <w:tr>
        <w:trPr>
          <w:trHeight w:val="84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Listen &amp; Communicate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3"/>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Group Exercise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4"/>
                <w:date w:fullDate="2026-06-15T00:00:00Z">
                  <w:dateFormat w:val="dd/MM/yyyy"/>
                </w:date>
              </w:sdtPr>
              <w:sdtContent>
                <w:r>
                  <w:rPr>
                    <w:rFonts w:ascii="Arial" w:hAnsi="Arial" w:eastAsia="Arial" w:cs="Arial"/>
                    <w:sz w:val="22"/>
                    <w:szCs w:val="22"/>
                    <w:lang w:val="en-GB" w:eastAsia="en-GB" w:bidi="en-GB"/>
                  </w:rPr>
                  <w:t xml:space="preserve">15/06/2026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Situational Judgement Test</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You will have five days to complete your Situational Judgement Test from the initial invite. Failure to complete the test within the timeframe outlined will result in your application being withdrawn from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tc>
      </w:tr>
      <w:tr>
        <w:trPr>
          <w:trHeight w:val="688" w:hRule="atLeast"/>
        </w:trPr>
        <w:tc>
          <w:tcPr>
            <w:tcW w:w="2093"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Cognitive Ability Test </w:t>
            </w: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successful at the Situational Judgement Test, you will soon receive an invitation to complete an online Cognitive Ability Test. You will have seven days to complete this. Failure to complete the test within the timeframe outlined will result in your application being withdrawn from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tc>
      </w:tr>
      <w:tr>
        <w:trPr>
          <w:trHeight w:val="688" w:hRule="atLeast"/>
        </w:trPr>
        <w:tc>
          <w:tcPr>
            <w:tcW w:w="2093"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Group and Written Exercise </w:t>
            </w: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Candidates successful at the Cognitive Ability Test will be invited to attend a Group and Written Exercise in person at one of our SPS sites.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Assessments are taking place on 22nd and 23</w:t>
            </w:r>
            <w:r>
              <w:rPr>
                <w:rFonts w:ascii="Arial" w:hAnsi="Arial" w:eastAsia="Arial" w:cs="Arial"/>
                <w:sz w:val="22"/>
                <w:szCs w:val="22"/>
                <w:vertAlign w:val="superscript"/>
                <w:lang w:val="en-GB" w:eastAsia="en-GB" w:bidi="en-GB"/>
              </w:rPr>
              <w:t xml:space="preserve">rd</w:t>
            </w:r>
            <w:r>
              <w:rPr>
                <w:rFonts w:ascii="Arial" w:hAnsi="Arial" w:eastAsia="Arial" w:cs="Arial"/>
                <w:sz w:val="22"/>
                <w:szCs w:val="22"/>
                <w:lang w:val="en-GB" w:eastAsia="en-GB" w:bidi="en-GB"/>
              </w:rPr>
              <w:t xml:space="preserve"> June at HMPYOI Grampian. More dates will be released in due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w:t>
            </w:r>
          </w:p>
        </w:tc>
      </w:tr>
      <w:tr>
        <w:trPr>
          <w:trHeight w:val="688" w:hRule="atLeast"/>
        </w:trPr>
        <w:tc>
          <w:tcPr>
            <w:tcW w:w="2093"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Candidates successful at the Group &amp; Written Exercise will be invited to attend the final assessment stage which will consist of a virtual online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w:t>
      </w:r>
      <w:r>
        <w:rPr>
          <w:rFonts w:ascii="Cambria Math" w:hAnsi="Cambria Math" w:eastAsia="Cambria Math" w:cs="Cambria Math"/>
          <w:sz w:val="22"/>
          <w:szCs w:val="22"/>
          <w:lang w:val="en-GB" w:eastAsia="en-GB" w:bidi="en-GB"/>
        </w:rPr>
        <w:t xml:space="preserve">‑</w:t>
      </w:r>
      <w:r>
        <w:rPr>
          <w:rFonts w:ascii="Arial" w:hAnsi="Arial" w:eastAsia="Arial" w:cs="Arial"/>
          <w:sz w:val="22"/>
          <w:szCs w:val="22"/>
          <w:lang w:val="en-GB" w:eastAsia="en-GB" w:bidi="en-GB"/>
        </w:rPr>
        <w:t xml:space="preserve">visible, or any access needs that would support your full participation in the selection process, please contact </w:t>
      </w:r>
      <w:r>
        <w:rPr>
          <w:rStyle w:val="Hyperlink"/>
          <w:rFonts w:ascii="Arial" w:hAnsi="Arial" w:eastAsia="Arial" w:cs="Arial"/>
          <w:sz w:val="22"/>
          <w:szCs w:val="22"/>
          <w:lang w:val="en-GB" w:eastAsia="en-GB" w:bidi="en-GB"/>
        </w:rPr>
        <w:fldChar w:fldCharType="begin"/>
      </w:r>
      <w:r>
        <w:rPr>
          <w:rStyle w:val="Hyperlink"/>
          <w:rFonts w:ascii="Arial" w:hAnsi="Arial" w:eastAsia="Arial" w:cs="Arial"/>
          <w:sz w:val="22"/>
          <w:szCs w:val="22"/>
          <w:lang w:val="en-GB" w:eastAsia="en-GB" w:bidi="en-GB"/>
        </w:rPr>
        <w:instrText xml:space="preserve"> HYPERLINK "mailto:vacancies@prisons.gov.scot" </w:instrText>
      </w:r>
      <w:r>
        <w:rPr>
          <w:rStyle w:val="Hyperlink"/>
          <w:rFonts w:ascii="Arial" w:hAnsi="Arial" w:eastAsia="Arial" w:cs="Arial"/>
          <w:sz w:val="22"/>
          <w:szCs w:val="22"/>
          <w:lang w:val="en-GB" w:eastAsia="en-GB" w:bidi="en-GB"/>
        </w:rPr>
        <w:fldChar w:fldCharType="separate"/>
      </w:r>
      <w:r>
        <w:rPr>
          <w:rStyle w:val="Hyperlink"/>
          <w:rFonts w:ascii="Arial" w:hAnsi="Arial" w:eastAsia="Arial" w:cs="Arial"/>
          <w:sz w:val="22"/>
          <w:szCs w:val="22"/>
          <w:lang w:val="en-GB" w:eastAsia="en-GB" w:bidi="en-GB"/>
        </w:rPr>
        <w:t xml:space="preserve">vacancies@prisons.gov.scot</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in the first instance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w:t>
      </w:r>
      <w:r>
        <w:rPr>
          <w:rFonts w:ascii="Cambria Math" w:hAnsi="Cambria Math" w:eastAsia="Cambria Math" w:cs="Cambria Math"/>
          <w:sz w:val="22"/>
          <w:szCs w:val="22"/>
          <w:lang w:val="en-GB" w:eastAsia="en-GB" w:bidi="en-GB"/>
        </w:rPr>
        <w:t xml:space="preserve">‑</w:t>
      </w:r>
      <w:r>
        <w:rPr>
          <w:rFonts w:ascii="Arial" w:hAnsi="Arial" w:eastAsia="Arial" w:cs="Arial"/>
          <w:sz w:val="22"/>
          <w:szCs w:val="22"/>
          <w:lang w:val="en-GB" w:eastAsia="en-GB" w:bidi="en-GB"/>
        </w:rPr>
        <w:t xml:space="preserve">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r>
        <w:rPr>
          <w:rFonts w:ascii="Arial" w:hAnsi="Arial" w:eastAsia="Arial" w:cs="Arial"/>
          <w:b/>
          <w:bCs/>
          <w:color w:val="004295"/>
          <w:sz w:val="24"/>
          <w:szCs w:val="24"/>
          <w:lang w:val="en-US" w:eastAsia="en-US" w:bidi="en-US"/>
        </w:rPr>
        <w:t xml:space="preserve">Situational Judgement 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meet the minimum eligibility criteria, you will be invited to sit an online situational judgement test (SJT). This is a values based assessment, aligned to the SPS values. The test will give you an insight into different situations you may be faced with as a Prison Officer.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You will be presented with 17 situations or scenarios, and you are required to choose from a list of options, which response you believe would be most effective and least effective in the given situation.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Some things to note about this stage: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There is no time limit within the test, however you should allow around 30 minutes to complete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Once you click ‘Save your answer’ you won’t be able to go back and change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You will have to complete the test in one sitting.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Once invited to undertake the test, you will have five days to complete the assessment.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Following completion of the test you will receive the outcome within around two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r>
        <w:rPr>
          <w:rFonts w:ascii="Arial" w:hAnsi="Arial" w:eastAsia="Arial" w:cs="Arial"/>
          <w:b/>
          <w:bCs/>
          <w:color w:val="004295"/>
          <w:sz w:val="24"/>
          <w:szCs w:val="24"/>
          <w:lang w:val="en-US" w:eastAsia="en-US" w:bidi="en-US"/>
        </w:rPr>
        <w:t xml:space="preserve">Congitive Ability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successful at the SJT stage you will be invited to take an online cognitive ability test. The test will be made up of three sub tests and will last 12 minutes in total. The test will assess your general cognitive ability across three areas: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Verbal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Numerical;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Abstract reasoning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GB" w:eastAsia="en-GB" w:bidi="en-GB"/>
        </w:rPr>
        <w:t xml:space="preserve">You will have four minutes to complete each test. The tests are designed to assess your ability to understand written and numerical information and to draw logical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As the cognitive ability test is completed in unsupervised conditions (i.e. in your own time), you should be aware that if invited to the interview stage of the process, you may be invited to complete a second online assessment under supervised conditions (i.e. onsite at SPS).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use a company called Cubiks for our assessment. You can access some practice questions on their website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Style w:val="Hyperlink"/>
          <w:rFonts w:ascii="Arial" w:hAnsi="Arial" w:eastAsia="Arial" w:cs="Arial"/>
          <w:sz w:val="22"/>
          <w:szCs w:val="22"/>
          <w:lang w:val="en-GB" w:eastAsia="en-GB" w:bidi="en-GB"/>
        </w:rPr>
        <w:fldChar w:fldCharType="begin"/>
      </w:r>
      <w:r>
        <w:rPr>
          <w:rStyle w:val="Hyperlink"/>
          <w:rFonts w:ascii="Arial" w:hAnsi="Arial" w:eastAsia="Arial" w:cs="Arial"/>
          <w:sz w:val="22"/>
          <w:szCs w:val="22"/>
          <w:lang w:val="en-GB" w:eastAsia="en-GB" w:bidi="en-GB"/>
        </w:rPr>
        <w:instrText xml:space="preserve"> HYPERLINK "https://practicetests.cubiks.com/ability-tests/intermediate" </w:instrText>
      </w:r>
      <w:r>
        <w:rPr>
          <w:rStyle w:val="Hyperlink"/>
          <w:rFonts w:ascii="Arial" w:hAnsi="Arial" w:eastAsia="Arial" w:cs="Arial"/>
          <w:sz w:val="22"/>
          <w:szCs w:val="22"/>
          <w:lang w:val="en-GB" w:eastAsia="en-GB" w:bidi="en-GB"/>
        </w:rPr>
        <w:fldChar w:fldCharType="separate"/>
      </w:r>
      <w:r>
        <w:rPr>
          <w:rStyle w:val="Hyperlink"/>
          <w:rFonts w:ascii="Arial" w:hAnsi="Arial" w:eastAsia="Arial" w:cs="Arial"/>
          <w:sz w:val="22"/>
          <w:szCs w:val="22"/>
          <w:lang w:val="en-GB" w:eastAsia="en-GB" w:bidi="en-GB"/>
        </w:rPr>
        <w:t xml:space="preserve">Ability Tests (Intermediate) | Talogy (cubiks.com)</w:t>
      </w:r>
      <w:r>
        <w:rPr>
          <w:rFonts w:ascii="Arial" w:hAnsi="Arial" w:eastAsia="Arial" w:cs="Arial"/>
          <w:sz w:val="22"/>
          <w:szCs w:val="22"/>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r>
        <w:rPr>
          <w:rFonts w:ascii="Arial" w:hAnsi="Arial" w:eastAsia="Arial" w:cs="Arial"/>
          <w:b/>
          <w:bCs/>
          <w:color w:val="004295"/>
          <w:sz w:val="24"/>
          <w:szCs w:val="24"/>
          <w:lang w:val="en-US" w:eastAsia="en-US" w:bidi="en-US"/>
        </w:rPr>
        <w:t xml:space="preserve">Group &amp; Written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GB" w:eastAsia="en-GB" w:bidi="en-GB"/>
        </w:rPr>
        <w:t xml:space="preserve">If successful at the Cognitive Ability Test stage, you’ll be invited to participate in a Group &amp; Written Exercise. You’ll receive an invitation via your online recruitment account asking you to book a suitable date to attend the exercise. Don’t worry if there isn’t a suitable date available initially, we regularly release more slots. The exercise will take place in person at our training college in Falkirk, unless advised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r>
        <w:rPr>
          <w:rFonts w:ascii="Arial" w:hAnsi="Arial" w:eastAsia="Arial" w:cs="Arial"/>
          <w:b/>
          <w:bCs/>
          <w:color w:val="004295"/>
          <w:sz w:val="24"/>
          <w:szCs w:val="24"/>
          <w:lang w:val="en-US" w:eastAsia="en-US" w:bidi="en-US"/>
        </w:rPr>
        <w:t xml:space="preserve">Group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You’ll work alongside up to 4 other candidates. You’ll be presented with a scenario and as a group you will be required to work together to make decisions. You’ll be given 5 minutes to read the brief provided, and 30 minutes to carry out the group discussion.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There won’t be assessors present on the day, so the exercise will be recorded. The evaluation will be completed at a later date. We will require you to sign a disclaimer to confirm you are content for your participation to be recorded.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criteria that you will be assessed against at this stage are: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Relationships &amp; Collaboration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Solve Problems &amp; Make Decisions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Listen &amp; Communicate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r>
        <w:rPr>
          <w:rFonts w:ascii="Arial" w:hAnsi="Arial" w:eastAsia="Arial" w:cs="Arial"/>
          <w:b/>
          <w:bCs/>
          <w:color w:val="004295"/>
          <w:sz w:val="24"/>
          <w:szCs w:val="24"/>
          <w:lang w:val="en-US" w:eastAsia="en-US" w:bidi="en-US"/>
        </w:rPr>
        <w:t xml:space="preserve">Written Exercise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Once the Group Exercise has concluded, you’ll then complete the Written Exercise. You will complete the Written Exercise individually, and this will be completed using a PC. You’ll be provided with a brief and will be required to draft a written response.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exercise will last for 25 minutes in total.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criteria that you will be assessed against at this stage are: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Develop Ourselves &amp; Others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2"/>
          <w:szCs w:val="22"/>
          <w:lang w:val="en-US" w:eastAsia="en-US" w:bidi="en-US"/>
        </w:rPr>
      </w:pPr>
      <w:r>
        <w:rPr>
          <w:rFonts w:ascii="Arial" w:hAnsi="Arial" w:eastAsia="Arial" w:cs="Arial"/>
          <w:sz w:val="22"/>
          <w:szCs w:val="22"/>
          <w:lang w:val="en-GB" w:eastAsia="en-GB" w:bidi="en-GB"/>
        </w:rPr>
        <w:t xml:space="preserve">Managing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r>
        <w:rPr>
          <w:rFonts w:ascii="Arial" w:hAnsi="Arial" w:eastAsia="Arial" w:cs="Arial"/>
          <w:b/>
          <w:bCs/>
          <w:color w:val="004295"/>
          <w:sz w:val="24"/>
          <w:szCs w:val="24"/>
          <w:lang w:val="en-US" w:eastAsia="en-US" w:bidi="en-US"/>
        </w:rPr>
        <w:t xml:space="preserve">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successful at the Group &amp; Written Exercise stage, you will be invited to attend an interview. You’ll receive an invitation via your online recruitment account asking you to book a suitable slot. Don’t worry if there isn’t a suitable one available initially; we regularly release more slots.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interview will take place on Microsoft Teams, and there will be up to three assessors present. The interview will last for approximately one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Each panel member will take a turn to ask questions. They will work through questions covering five areas: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Develop Ourselves &amp;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Supporting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Making a Difference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Resilience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At the beginning of the interview, the panel will also ask some questions to find out a bit more about your career history and skills relevant to the role applied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panel will provide you with some context about why each competency is relevant to the role. You’ll be asked a lead question first, followed by prompting questions. Don't be put off if you are asked a few prompting questions. This is to ensure the panel gains full insight into the example provided.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will be looking for specific examples, so you should avoid using generic examples. We want to know what you did, how you did it, and what the outcome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are happy for you to use some prompting notes on the day. However, please try to refrain from over reliance on 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After the interview, the panel will carry out an evaluation and will provide a score against the evidence provided for each competency. This score will be based on the evidence provided by you during the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You'll receive the outcome via your online recruitment account, usually within two working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r>
        <w:rPr>
          <w:rFonts w:ascii="Arial" w:hAnsi="Arial" w:eastAsia="Arial" w:cs="Arial"/>
          <w:b/>
          <w:bCs/>
          <w:color w:val="004295"/>
          <w:sz w:val="24"/>
          <w:szCs w:val="24"/>
          <w:lang w:val="en-US" w:eastAsia="en-US" w:bidi="en-US"/>
        </w:rPr>
        <w:t xml:space="preserve">Pre-employment Checks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final stage before appointment is the pre-employment checks. Due to the nature of our organisation, the standards we set are at times considerably higher than those that might be expected in other organisations. On average, pre-employment checks will usually take 6-8 weeks to fully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Further information on pre-employment checks can be found</w:t>
      </w:r>
      <w:r>
        <w:rPr>
          <w:rStyle w:val="Hyperlink"/>
          <w:rFonts w:ascii="Arial" w:hAnsi="Arial" w:eastAsia="Arial" w:cs="Arial"/>
          <w:color w:val="auto"/>
          <w:sz w:val="22"/>
          <w:szCs w:val="22"/>
          <w:lang w:val="en-GB" w:eastAsia="en-GB" w:bidi="en-GB"/>
        </w:rPr>
        <w:fldChar w:fldCharType="begin"/>
      </w:r>
      <w:r>
        <w:rPr>
          <w:rStyle w:val="Hyperlink"/>
          <w:rFonts w:ascii="Arial" w:hAnsi="Arial" w:eastAsia="Arial" w:cs="Arial"/>
          <w:color w:val="auto"/>
          <w:sz w:val="22"/>
          <w:szCs w:val="22"/>
          <w:lang w:val="en-GB" w:eastAsia="en-GB" w:bidi="en-GB"/>
        </w:rPr>
        <w:instrText xml:space="preserve"> HYPERLINK "https://www.sps.gov.uk/pre-employment-checks" </w:instrText>
      </w:r>
      <w:r>
        <w:rPr>
          <w:rStyle w:val="Hyperlink"/>
          <w:rFonts w:ascii="Arial" w:hAnsi="Arial" w:eastAsia="Arial" w:cs="Arial"/>
          <w:color w:val="auto"/>
          <w:sz w:val="22"/>
          <w:szCs w:val="22"/>
          <w:lang w:val="en-GB" w:eastAsia="en-GB" w:bidi="en-GB"/>
        </w:rPr>
        <w:fldChar w:fldCharType="separate"/>
      </w:r>
      <w:r>
        <w:rPr>
          <w:rStyle w:val="Hyperlink"/>
          <w:rFonts w:ascii="Arial" w:hAnsi="Arial" w:eastAsia="Arial" w:cs="Arial"/>
          <w:color w:val="auto"/>
          <w:sz w:val="22"/>
          <w:szCs w:val="22"/>
          <w:lang w:val="en-GB" w:eastAsia="en-GB" w:bidi="en-GB"/>
        </w:rPr>
        <w:t xml:space="preserve"> here</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Assignment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Following successful pre-employment checks you will be allocated a place on one of our Officer Foundation Training courses. Your first week will be based at the establishment you are assigned to, followed by seven weeks at our training facility in Falkirk.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have Residential Officer Foundation Programme training intakes planned for 2026 and 2027.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planned start dates for these intakes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17/08/2026</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19/10/2026</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11/01/2027</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23/03/2027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*Training start dates will be different for internal staff applying for promotion to Residential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You will be assigned to a specific establishment which will be your primary place of work following the training. We will collect preferences of where you may like to be assigned, however we cannot make any guarantees, as offers of employment are subject to business need. We will, however, try to assign you to a prison within 30 miles of your home address.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75640" cy="558800"/>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75640" cy="558800"/>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2655" cy="485140"/>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22655" cy="485140"/>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3270" cy="55118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3270" cy="55118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8520" cy="524510"/>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8520" cy="52451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 w:name="Cambria Math">
    <w:panose1 w:val="02040503050406030204"/>
    <w:charset w:val="00"/>
    <w:family w:val="roman"/>
    <w:pitch w:val="variable"/>
    <w:sig w:usb0="E00006FF" w:usb1="420024FF" w:usb2="02000000" w:usb3="00000000" w:csb0="200001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character" w:styleId="UnresolvedMention">
    <w:name w:val="Unresolved Mention"/>
    <w:qFormat/>
    <w:rPr>
      <w:color w:val="605E5C"/>
      <w:shd w:val="clear" w:color="auto" w:fill="E1DFDD"/>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cp:keywords>Policy; HumanResources; HR</cp:keywords>
  <dc:creator>Claire Neary</dc:creator>
  <dcterms:created xsi:type="dcterms:W3CDTF">2026-03-17T11:58:00Z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Order">
    <vt:r8>1934700</vt:r8>
  </property>
  <property fmtid="{D5CDD505-2E9C-101B-9397-08002B2CF9AE}" pid="6" name="MSIP_Label_345a5628-45e9-4ab3-9be1-66b8fee5ba00_Name">
    <vt:lpwstr>Official</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Enabled">
    <vt:lpwstr>true</vt:lpwstr>
  </property>
  <property fmtid="{D5CDD505-2E9C-101B-9397-08002B2CF9AE}" pid="9" name="MSIP_Label_345a5628-45e9-4ab3-9be1-66b8fee5ba00_SiteId">
    <vt:lpwstr>72e022f2-1d7b-48a2-872d-a0ff35f57a8d</vt:lpwstr>
  </property>
  <property fmtid="{D5CDD505-2E9C-101B-9397-08002B2CF9AE}" pid="10" name="ContentTypeId">
    <vt:lpwstr>0x010100B3FF7FA006F7964281E16E10F63BF2B2</vt:lpwstr>
  </property>
  <property fmtid="{D5CDD505-2E9C-101B-9397-08002B2CF9AE}" pid="11" name="TaxKeyword">
    <vt:lpwstr>16;#HumanResources|4d12bdfc-b4e0-423d-bf8a-57bd362b7aec;#15;#HR|aad7a0a4-3f3d-4995-b85d-7931e251579c;#14;#Policy|c03ed4bb-ad84-49a6-bfbe-1721d9a8c699</vt:lpwstr>
  </property>
</Properties>
</file>