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-7615</wp:posOffset>
                </wp:positionH>
                <wp:positionV relativeFrom="paragraph">
                  <wp:posOffset>189441</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COORDINATION AND BRIEFING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1: Comeptency Sift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2: Interview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531"/>
        <w:gridCol w:w="2268"/>
        <w:gridCol w:w="2240"/>
      </w:tblGrid>
      <w:tr>
        <w:trPr>
          <w:trHeight w:val="632" w:hRule="atLeast"/>
        </w:trPr>
        <w:tc>
          <w:tcPr>
            <w:tcW w:w="453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4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531"/>
        <w:gridCol w:w="2268"/>
        <w:gridCol w:w="2240"/>
      </w:tblGrid>
      <w:tr>
        <w:trPr>
          <w:trHeight w:val="836" w:hRule="atLeast"/>
        </w:trPr>
        <w:tc>
          <w:tcPr>
            <w:tcW w:w="4531"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Be qualified to degree level in a relevant business related discipline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lang w:val="en-GB" w:eastAsia="en-GB" w:bidi="en-GB"/>
              </w:rPr>
            </w:pPr>
            <w:r>
              <w:rPr>
                <w:rFonts w:ascii="Arial" w:hAnsi="Arial" w:eastAsia="Arial" w:cs="Arial"/>
                <w:sz w:val="22"/>
                <w:szCs w:val="22"/>
                <w:lang w:val="en-GB" w:eastAsia="en-GB" w:bidi="en-GB"/>
              </w:rPr>
              <w:t xml:space="preserve">have relevant equivalent experience in a corporate environment. </w:t>
            </w:r>
            <w:r>
              <w:rPr>
                <w:rFonts w:ascii="Arial" w:hAnsi="Arial" w:eastAsia="Arial" w:cs="Arial"/>
                <w:lang w:val="en-GB" w:eastAsia="en-GB" w:bidi="en-GB"/>
              </w:rPr>
              <w:t xml:space="preserve">  </w:t>
            </w:r>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4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531"/>
        <w:gridCol w:w="2268"/>
        <w:gridCol w:w="2240"/>
      </w:tblGrid>
      <w:tr>
        <w:trPr>
          <w:trHeight w:val="846" w:hRule="atLeast"/>
        </w:trPr>
        <w:tc>
          <w:tcPr>
            <w:tcW w:w="4531" w:type="dxa"/>
            <w:tcBorders>
              <w:top w:val="single" w:sz="4" w:space="0" w:color="92CDDC"/>
            </w:tcBorders>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lang w:val="en-GB" w:eastAsia="en-GB" w:bidi="en-GB"/>
              </w:rPr>
            </w:pPr>
            <w:r>
              <w:rPr>
                <w:rFonts w:ascii="Trebuchet MS" w:hAnsi="Trebuchet MS" w:eastAsia="Trebuchet MS" w:cs="Trebuchet MS"/>
                <w:b/>
                <w:bCs/>
                <w:lang w:val="en-GB" w:eastAsia="en-GB" w:bidi="en-GB"/>
              </w:rPr>
              <w:t xml:space="preserve">Working with </w:t>
            </w:r>
            <w:commentRangeStart w:id="1"/>
            <w:r>
              <w:rPr>
                <w:rFonts w:ascii="Trebuchet MS" w:hAnsi="Trebuchet MS" w:eastAsia="Trebuchet MS" w:cs="Trebuchet MS"/>
                <w:b/>
                <w:bCs/>
                <w:lang w:val="en-GB" w:eastAsia="en-GB" w:bidi="en-GB"/>
              </w:rPr>
              <w:t xml:space="preserve">others</w:t>
            </w:r>
            <w:commentRangeEnd w:id="1"/>
            <w:r>
              <w:commentReference w:id="1"/>
            </w:r>
            <w:r>
              <w:rPr>
                <w:rFonts w:ascii="Trebuchet MS" w:hAnsi="Trebuchet MS" w:eastAsia="Trebuchet MS" w:cs="Trebuchet MS"/>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sz w:val="22"/>
                <w:szCs w:val="22"/>
                <w:lang w:val="en-GB" w:eastAsia="en-GB" w:bidi="en-GB"/>
              </w:rPr>
            </w:pPr>
            <w:r>
              <w:rPr>
                <w:sz w:val="22"/>
                <w:szCs w:val="22"/>
                <w:lang w:val="en-GB" w:eastAsia="en-GB" w:bidi="en-GB"/>
              </w:rPr>
              <w:t xml:space="preserve">Ability to work collaboratively with both internal and external stakeholders to deliver strategic outcomes and priorities across the justice landscape.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sz w:val="22"/>
                <w:szCs w:val="22"/>
                <w:lang w:val="en-GB" w:eastAsia="en-GB" w:bidi="en-GB"/>
              </w:rPr>
            </w:pPr>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4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p>
        </w:tc>
      </w:tr>
      <w:tr>
        <w:trPr>
          <w:trHeight w:val="846" w:hRule="atLeast"/>
        </w:trPr>
        <w:tc>
          <w:tcPr>
            <w:tcW w:w="4531" w:type="dxa"/>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sz w:val="22"/>
                <w:szCs w:val="22"/>
                <w:lang w:val="en-GB" w:eastAsia="en-GB" w:bidi="en-GB"/>
              </w:rPr>
            </w:pPr>
            <w:r>
              <w:rPr>
                <w:rFonts w:ascii="Trebuchet MS" w:hAnsi="Trebuchet MS" w:eastAsia="Trebuchet MS" w:cs="Trebuchet MS"/>
                <w:b/>
                <w:bCs/>
                <w:lang w:val="en-GB" w:eastAsia="en-GB" w:bidi="en-GB"/>
              </w:rPr>
              <w:t xml:space="preserve">Written </w:t>
            </w:r>
            <w:commentRangeStart w:id="2"/>
            <w:r>
              <w:rPr>
                <w:rFonts w:ascii="Trebuchet MS" w:hAnsi="Trebuchet MS" w:eastAsia="Trebuchet MS" w:cs="Trebuchet MS"/>
                <w:b/>
                <w:bCs/>
                <w:lang w:val="en-GB" w:eastAsia="en-GB" w:bidi="en-GB"/>
              </w:rPr>
              <w:t xml:space="preserve">Skills</w:t>
            </w:r>
            <w:commentRangeEnd w:id="2"/>
            <w:r>
              <w:commentReference w:id="2"/>
            </w:r>
            <w:r>
              <w:rPr>
                <w:rFonts w:ascii="Trebuchet MS" w:hAnsi="Trebuchet MS" w:eastAsia="Trebuchet MS" w:cs="Trebuchet MS"/>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sz w:val="22"/>
                <w:szCs w:val="22"/>
                <w:lang w:val="en-GB" w:eastAsia="en-GB" w:bidi="en-GB"/>
              </w:rPr>
            </w:pPr>
            <w:r>
              <w:rPr>
                <w:sz w:val="22"/>
                <w:szCs w:val="22"/>
                <w:lang w:val="en-GB" w:eastAsia="en-GB" w:bidi="en-GB"/>
              </w:rPr>
              <w:t xml:space="preserve">Ability to produce clear and concise written communications that capture the ethos and aims of the Scottish Prison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sz w:val="22"/>
                <w:szCs w:val="22"/>
                <w:lang w:val="en-GB" w:eastAsia="en-GB" w:bidi="en-GB"/>
              </w:rPr>
            </w:pP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6"/>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531" w:type="dxa"/>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lang w:val="en-GB" w:eastAsia="en-GB" w:bidi="en-GB"/>
              </w:rPr>
            </w:pPr>
            <w:r>
              <w:rPr>
                <w:rFonts w:ascii="Trebuchet MS" w:hAnsi="Trebuchet MS" w:eastAsia="Trebuchet MS" w:cs="Trebuchet MS"/>
                <w:b/>
                <w:bCs/>
                <w:lang w:val="en-GB" w:eastAsia="en-GB" w:bidi="en-GB"/>
              </w:rPr>
              <w:t xml:space="preserve">Business </w:t>
            </w:r>
            <w:commentRangeStart w:id="3"/>
            <w:r>
              <w:rPr>
                <w:rFonts w:ascii="Trebuchet MS" w:hAnsi="Trebuchet MS" w:eastAsia="Trebuchet MS" w:cs="Trebuchet MS"/>
                <w:b/>
                <w:bCs/>
                <w:lang w:val="en-GB" w:eastAsia="en-GB" w:bidi="en-GB"/>
              </w:rPr>
              <w:t xml:space="preserve">Management</w:t>
            </w:r>
            <w:commentRangeEnd w:id="3"/>
            <w:r>
              <w:commentReference w:id="3"/>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Ability to effectively undertake corporate business management and reporting processes and have an understanding of how complex issues are managed, and how decisions are made within a relatively large public sector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ascii="Arial" w:hAnsi="Arial" w:eastAsia="Arial" w:cs="Arial"/>
                <w:sz w:val="22"/>
                <w:szCs w:val="22"/>
                <w:lang w:val="en-GB" w:eastAsia="en-GB" w:bidi="en-GB"/>
              </w:rPr>
            </w:pP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7"/>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p>
        </w:tc>
      </w:tr>
      <w:tr>
        <w:trPr>
          <w:trHeight w:val="832" w:hRule="atLeast"/>
        </w:trPr>
        <w:tc>
          <w:tcPr>
            <w:tcW w:w="4531" w:type="dxa"/>
            <w:tcBorders>
              <w:bottom w:val="single" w:sz="4" w:space="0" w:color="92CDDC"/>
            </w:tcBorders>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lang w:val="en-GB" w:eastAsia="en-GB" w:bidi="en-GB"/>
              </w:rPr>
            </w:pPr>
            <w:r>
              <w:rPr>
                <w:rFonts w:ascii="Trebuchet MS" w:hAnsi="Trebuchet MS" w:eastAsia="Trebuchet MS" w:cs="Trebuchet MS"/>
                <w:b/>
                <w:bCs/>
                <w:lang w:val="en-GB" w:eastAsia="en-GB" w:bidi="en-GB"/>
              </w:rPr>
              <w:t xml:space="preserve">Government Awareness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lang w:val="en-GB" w:eastAsia="en-GB" w:bidi="en-GB"/>
              </w:rPr>
            </w:pPr>
            <w:r>
              <w:rPr>
                <w:rFonts w:ascii="Arial" w:hAnsi="Arial" w:eastAsia="Arial" w:cs="Arial"/>
                <w:sz w:val="22"/>
                <w:szCs w:val="22"/>
                <w:lang w:val="en-GB" w:eastAsia="en-GB" w:bidi="en-GB"/>
              </w:rPr>
              <w:t xml:space="preserve">Understanding of SPS Framework, Document, Ministerial/Parliamentary briefing and processes, such as PQs and First Minister’s Questions</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lang w:val="en-GB" w:eastAsia="en-GB" w:bidi="en-GB"/>
              </w:rPr>
            </w:pP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Desirable</w:t>
                </w:r>
              </w:sdtContent>
            </w:sdt>
          </w:p>
        </w:tc>
        <w:tc>
          <w:tcPr>
            <w:tcW w:w="224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531"/>
        <w:gridCol w:w="2268"/>
        <w:gridCol w:w="2240"/>
      </w:tblGrid>
      <w:tr>
        <w:trPr>
          <w:trHeight w:val="836" w:hRule="atLeast"/>
        </w:trPr>
        <w:tc>
          <w:tcPr>
            <w:tcW w:w="453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Solve Problems &amp; Make Decisions</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10"/>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4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53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12"/>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53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4"/>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4" w:hRule="atLeast"/>
        </w:trPr>
        <w:tc>
          <w:tcPr>
            <w:tcW w:w="453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5"/>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6"/>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4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7"/>
                <w:date w:fullDate="2026-07-10T00:00:00Z">
                  <w:dateFormat w:val="dd/MM/yyyy"/>
                </w:date>
              </w:sdtPr>
              <w:sdtContent>
                <w:r>
                  <w:rPr>
                    <w:rFonts w:ascii="Arial" w:hAnsi="Arial" w:eastAsia="Arial" w:cs="Arial"/>
                    <w:sz w:val="22"/>
                    <w:szCs w:val="22"/>
                    <w:lang w:val="en-GB" w:eastAsia="en-GB" w:bidi="en-GB"/>
                  </w:rPr>
                  <w:t xml:space="preserve">10/07/2026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8"/>
                <w:date w:fullDate="2026-07-22T00:00:00Z">
                  <w:dateFormat w:val="dd MMMM yyyy"/>
                </w:date>
              </w:sdtPr>
              <w:sdtContent>
                <w:r>
                  <w:rPr>
                    <w:rFonts w:ascii="Arial" w:hAnsi="Arial" w:eastAsia="Arial" w:cs="Arial"/>
                    <w:sz w:val="22"/>
                    <w:szCs w:val="22"/>
                    <w:lang w:val="en-GB" w:eastAsia="en-GB" w:bidi="en-GB"/>
                  </w:rPr>
                  <w:t xml:space="preserve">22 July 2026</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 subject to change dependant on assessor availability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w:t>
      </w:r>
      <w:r>
        <w:rPr>
          <w:lang w:val="en-GB" w:eastAsia="en-GB" w:bidi="en-GB"/>
        </w:rPr>
        <w:t xml:space="preserve">-</w:t>
      </w:r>
      <w:r>
        <w:rPr>
          <w:rFonts w:ascii="Arial" w:hAnsi="Arial" w:eastAsia="Arial" w:cs="Arial"/>
          <w:sz w:val="22"/>
          <w:szCs w:val="22"/>
          <w:lang w:val="en-GB" w:eastAsia="en-GB" w:bidi="en-GB"/>
        </w:rPr>
        <w:t xml:space="preserve">visible, or any access needs that would support your full participation in the selection process, please contact Kelly Neill, Resourcing Manager at </w:t>
      </w:r>
      <w:r>
        <w:rPr>
          <w:rStyle w:val="Hyperlink"/>
          <w:rFonts w:ascii="Arial" w:hAnsi="Arial" w:eastAsia="Arial" w:cs="Arial"/>
          <w:sz w:val="22"/>
          <w:szCs w:val="22"/>
          <w:lang w:val="en-GB" w:eastAsia="en-GB" w:bidi="en-GB"/>
        </w:rPr>
        <w:fldChar w:fldCharType="begin"/>
      </w:r>
      <w:r>
        <w:rPr>
          <w:rStyle w:val="Hyperlink"/>
          <w:rFonts w:ascii="Arial" w:hAnsi="Arial" w:eastAsia="Arial" w:cs="Arial"/>
          <w:sz w:val="22"/>
          <w:szCs w:val="22"/>
          <w:lang w:val="en-GB" w:eastAsia="en-GB" w:bidi="en-GB"/>
        </w:rPr>
        <w:instrText xml:space="preserve"> HYPERLINK "mailto:kelly.neill@prisons.gov.scot" </w:instrText>
      </w:r>
      <w:r>
        <w:rPr>
          <w:rStyle w:val="Hyperlink"/>
          <w:rFonts w:ascii="Arial" w:hAnsi="Arial" w:eastAsia="Arial" w:cs="Arial"/>
          <w:sz w:val="22"/>
          <w:szCs w:val="22"/>
          <w:lang w:val="en-GB" w:eastAsia="en-GB" w:bidi="en-GB"/>
        </w:rPr>
        <w:fldChar w:fldCharType="separate"/>
      </w:r>
      <w:r>
        <w:rPr>
          <w:rStyle w:val="Hyperlink"/>
          <w:rFonts w:ascii="Arial" w:hAnsi="Arial" w:eastAsia="Arial" w:cs="Arial"/>
          <w:sz w:val="22"/>
          <w:szCs w:val="22"/>
          <w:lang w:val="en-GB" w:eastAsia="en-GB" w:bidi="en-GB"/>
        </w:rPr>
        <w:t xml:space="preserve">kelly.neill@prisons.gov.scot</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comments.xml><?xml version="1.0" encoding="utf-8"?>
<w:comments xmlns:w="http://schemas.openxmlformats.org/wordprocessingml/2006/main"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comment w:id="1" w:author="Kelly Neill" w:date="2026-06-01T16:20:00Z">
    <w:p w14:paraId="00000001">
      <w:r>
        <w:annotationRef/>
        <w:t xml:space="preserve">Most relevant behaviours which will be assessed at interview: Relationships &amp; Collaboration and Plan &amp; Organise</w:t>
      </w:r>
    </w:p>
  </w:comment>
  <w:comment w:id="2" w:author="Kelly Neill" w:date="2026-06-01T16:20:00Z">
    <w:p w14:paraId="00000002">
      <w:r>
        <w:annotationRef/>
        <w:t xml:space="preserve">Most relevant behaviours which will be assessed at interview: Listen &amp; Communicate</w:t>
      </w:r>
    </w:p>
  </w:comment>
  <w:comment w:id="3" w:author="Kelly Neill" w:date="2026-06-01T16:20:00Z">
    <w:p w14:paraId="00000003">
      <w:r>
        <w:annotationRef/>
        <w:t xml:space="preserve">Most relevant behaviours which will be assessed at interview: Solve Problems &amp; Make Decisions and Plan &amp; Organise</w:t>
      </w:r>
    </w:p>
  </w:comment>
</w:comments>
</file>

<file path=word/commentsExtended.xml><?xml version="1.0" encoding="utf-8"?>
<w15:commentsEx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5:commentEx w15:paraId="00000001" w15:done="0"/>
  <w15:commentEx w15:paraId="00000002" w15:done="0"/>
  <w15:commentEx w15:paraId="00000003" w15:done="0"/>
</w15:commentsEx>
</file>

<file path=word/commentsExtensible.xml><?xml version="1.0" encoding="utf-8"?>
<w16cex:commentsExtensible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6cex:commentExtensible w16cex:durableId="00000001" w16cex:dateUtc="2026-06-01T15:20:00Z"/>
  <w16cex:commentExtensible w16cex:durableId="00000002" w16cex:dateUtc="2026-06-01T15:20:00Z"/>
  <w16cex:commentExtensible w16cex:durableId="00000003" w16cex:dateUtc="2026-06-01T15:20:00Z"/>
</w16cex:commentsExtensible>
</file>

<file path=word/commentsIds.xml><?xml version="1.0" encoding="utf-8"?>
<w16cid:commentsIds xmlns:mc="http://schemas.openxmlformats.org/markup-compatibility/2006" xmlns:w14="http://schemas.microsoft.com/office/word/2010/wordml" xmlns:w15="http://schemas.microsoft.com/office/word/2012/wordml" xmlns:w16cex="http://schemas.microsoft.com/office/word/2018/wordml/cex" xmlns:w16cid="http://schemas.microsoft.com/office/word/2016/wordml/cid" mc:Ignorable="w14 w15 w16cex w16cid">
  <w16cid:commentId w16cid:paraId="00000001" w16cid:durableId="00000001"/>
  <w16cid:commentId w16cid:paraId="00000002" w16cid:durableId="00000002"/>
  <w16cid:commentId w16cid:paraId="00000003" w16cid:durableId="00000003"/>
</w16cid:commentsIds>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character" w:styleId="UnresolvedMention">
    <w:name w:val="Unresolved Mention"/>
    <w:qFormat/>
    <w:rPr>
      <w:color w:val="605E5C"/>
      <w:shd w:val="clear" w:color="auto" w:fill="E1DFDD"/>
      <w:rtl w:val="off"/>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comments" Target="comments.xml"/>
	<Relationship Id="rId00016" Type="http://schemas.microsoft.com/office/2011/relationships/commentsExtended" Target="commentsExtended.xml"/>
	<Relationship Id="rId00017" Type="http://schemas.microsoft.com/office/2016/09/relationships/commentsIds" Target="commentsIds.xml"/>
	<Relationship Id="rId00018" Type="http://schemas.microsoft.com/office/2018/08/relationships/commentsExtensible" Target="commentsExtensible.xml"/>
	<Relationship Id="rId00019" Type="http://schemas.openxmlformats.org/officeDocument/2006/relationships/numbering" Target="numbering.xml"/>
	<Relationship Id="rId00020" Type="http://schemas.openxmlformats.org/officeDocument/2006/relationships/fontTable" Target="fontTable.xml"/>
	<Relationship Id="rId0002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2026-03-31T13:46:00Z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0x010100DFFE5517DB32BA429C75244FC9E26689</vt:lpwstr>
  </property>
  <property fmtid="{D5CDD505-2E9C-101B-9397-08002B2CF9AE}" pid="11" name="MSIP_Label_345a5628-45e9-4ab3-9be1-66b8fee5ba00_Method">
    <vt:lpwstr>Standard</vt:lpwstr>
  </property>
</Properties>
</file>