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1311;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2335" behindDoc="0" locked="0" layoutInCell="1" hidden="0" allowOverlap="1">
                <wp:simplePos x="0" y="0"/>
                <wp:positionH relativeFrom="column">
                  <wp:posOffset>-6985</wp:posOffset>
                </wp:positionH>
                <wp:positionV relativeFrom="paragraph">
                  <wp:posOffset>189230</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Prisoner Services Assistant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Review</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Minimum of two National 5 (or equivalent) qualifications including English and Mathematics or relevant general administrative experience.</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r>
        <w:trPr>
          <w:trHeight w:val="836"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br w:type="textWrapping"/>
            </w:r>
            <w:r>
              <w:rPr>
                <w:rFonts w:ascii="Arial" w:hAnsi="Arial" w:eastAsia="Arial" w:cs="Arial"/>
                <w:sz w:val="22"/>
                <w:szCs w:val="22"/>
                <w:lang w:val="en-GB" w:eastAsia="en-GB" w:bidi="en-GB"/>
              </w:rPr>
              <w:t xml:space="preserve">Holds full UK driving license.</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808080"/>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color w:val="808080"/>
                    <w:sz w:val="22"/>
                    <w:szCs w:val="22"/>
                    <w:lang w:val="en-GB" w:eastAsia="en-GB" w:bidi="en-GB"/>
                  </w:rPr>
                  <w:t xml:space="preserve">Desirable</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br w:type="textWrapping"/>
            </w:r>
            <w:r>
              <w:rPr>
                <w:rFonts w:ascii="Arial" w:hAnsi="Arial" w:eastAsia="Arial" w:cs="Arial"/>
                <w:sz w:val="22"/>
                <w:szCs w:val="22"/>
                <w:lang w:val="en-GB" w:eastAsia="en-GB" w:bidi="en-GB"/>
              </w:rPr>
              <w:t xml:space="preserve">Sound knowledge and experience of stock control</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Demonstrates strong digital skills, including confident use of Microsoft Office applications such as Excel, Word, Outlook, Teams and PowerPoint. Able to use digital tools and platforms effectively to create, manage and share information, support efficient workflows and enhance communication across the organisation</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Ability to analyse, interpret and report on a range of information. Excellent numeracy skills and attention to detail.</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Plan &amp; Organise</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7"/>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9"/>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Relationships &amp; Collaboration</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1"/>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2"/>
                <w:date w:fullDate="2026-07-03T00:00:00Z">
                  <w:dateFormat w:val="dd/MM/yyyy"/>
                </w:date>
              </w:sdtPr>
              <w:sdtContent>
                <w:r>
                  <w:rPr>
                    <w:lang w:val="en-GB" w:eastAsia="en-GB" w:bidi="en-GB"/>
                  </w:rPr>
                  <w:t xml:space="preserve">03/07/2026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3"/>
                <w:showingPlcHdr/>
                <w:date>
                  <w:dateFormat w:val="dd MMMM yyyy"/>
                </w:date>
              </w:sdtPr>
              <w:sdtContent>
                <w:r>
                  <w:rPr>
                    <w:lang w:val="en-GB" w:eastAsia="en-GB" w:bidi="en-GB"/>
                  </w:rPr>
                  <w:t xml:space="preserve">     </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non‑visible, or any access needs that would support your full participation in the selection process, please contact Wendy Brunton at Wendy.Brunton@prisons.gov.scot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jc w:val="both"/>
        <w:rPr>
          <w:rFonts w:ascii="Arial" w:hAnsi="Arial" w:eastAsia="Arial" w:cs="Arial"/>
          <w:sz w:val="22"/>
          <w:szCs w:val="22"/>
          <w:lang w:val="en-US" w:eastAsia="en-US" w:bidi="en-US"/>
        </w:rPr>
      </w:pPr>
      <w:r>
        <w:drawing>
          <wp:anchor distT="0" distB="0" distL="114300" distR="114300" simplePos="0" relativeHeight="251660287" behindDoc="0" locked="0" layoutInCell="1" hidden="0" allowOverlap="1">
            <wp:simplePos x="0" y="0"/>
            <wp:positionH relativeFrom="column">
              <wp:posOffset>4638675</wp:posOffset>
            </wp:positionH>
            <wp:positionV relativeFrom="paragraph">
              <wp:posOffset>14605</wp:posOffset>
            </wp:positionV>
            <wp:extent cx="1323975" cy="571500"/>
            <wp:wrapSquare wrapText="bothSides"/>
            <wp:docPr id="5" name="Picture 2"/>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1323975" cy="571500"/>
                    </a:xfrm>
                    <a:prstGeom prst="rect">
                      <a:avLst/>
                    </a:prstGeom>
                  </pic:spPr>
                </pic:pic>
              </a:graphicData>
            </a:graphic>
          </wp:anchor>
        </w:drawing>
      </w:r>
      <w:r>
        <w:drawing>
          <wp:anchor distT="0" distB="0" distL="114300" distR="114300" simplePos="0" relativeHeight="251664383" behindDoc="0" locked="0" layoutInCell="1" hidden="0" allowOverlap="1">
            <wp:simplePos x="0" y="0"/>
            <wp:positionH relativeFrom="column">
              <wp:posOffset>2286000</wp:posOffset>
            </wp:positionH>
            <wp:positionV relativeFrom="paragraph">
              <wp:posOffset>52070</wp:posOffset>
            </wp:positionV>
            <wp:extent cx="676275" cy="561975"/>
            <wp:wrapSquare wrapText="bothSides"/>
            <wp:docPr id="6" name="_tx_id_1_Picture 1"/>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676275" cy="5619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7" name="Picture 5"/>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8" name="Picture 8"/>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762000" cy="55245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3875"/>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jpg"/>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2026-06-02T09:09:00Z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Order">
    <vt:r8>1934700</vt:r8>
  </property>
  <property fmtid="{D5CDD505-2E9C-101B-9397-08002B2CF9AE}" pid="6" name="MSIP_Label_345a5628-45e9-4ab3-9be1-66b8fee5ba00_Name">
    <vt:lpwstr>Official</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Enabled">
    <vt:lpwstr>true</vt:lpwstr>
  </property>
  <property fmtid="{D5CDD505-2E9C-101B-9397-08002B2CF9AE}" pid="9" name="MSIP_Label_345a5628-45e9-4ab3-9be1-66b8fee5ba00_SiteId">
    <vt:lpwstr>72e022f2-1d7b-48a2-872d-a0ff35f57a8d</vt:lpwstr>
  </property>
  <property fmtid="{D5CDD505-2E9C-101B-9397-08002B2CF9AE}" pid="10" name="ContentTypeId">
    <vt:lpwstr>0x0101009F902FBD4DBFCB4AA57DA209992A752E</vt:lpwstr>
  </property>
  <property fmtid="{D5CDD505-2E9C-101B-9397-08002B2CF9AE}" pid="11" name="TaxKeyword">
    <vt:lpwstr>16;#HumanResources|4d12bdfc-b4e0-423d-bf8a-57bd362b7aec;#15;#HR|aad7a0a4-3f3d-4995-b85d-7931e251579c;#14;#Policy|c03ed4bb-ad84-49a6-bfbe-1721d9a8c699</vt:lpwstr>
  </property>
</Properties>
</file>