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0287;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1311" behindDoc="0" locked="0" layoutInCell="1" hidden="0" allowOverlap="1">
                <wp:simplePos x="0" y="0"/>
                <wp:positionH relativeFrom="column">
                  <wp:posOffset>-7615</wp:posOffset>
                </wp:positionH>
                <wp:positionV relativeFrom="paragraph">
                  <wp:posOffset>189441</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CAMPAIGN TIMELINE</w:t>
      </w: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Agents/Visits Admin Assistant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want to ensure you have access to all the information you need to feel prepared, confident and able to show us your best.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lang w:val="en-GB" w:eastAsia="en-GB" w:bidi="en-GB"/>
        </w:rPr>
        <w:br w:type="textWrapping"/>
      </w:r>
      <w:r>
        <w:rPr>
          <w:rFonts w:ascii="Arial" w:hAnsi="Arial" w:eastAsia="Arial" w:cs="Arial"/>
          <w:sz w:val="22"/>
          <w:szCs w:val="22"/>
          <w:lang w:val="en-GB" w:eastAsia="en-GB" w:bidi="en-GB"/>
        </w:rPr>
        <w:t xml:space="preserve">We’ve included details of the selection process and at which stage each criteria from the Person Specification will be assessed. We’ve also included key dates you’ll want to keep in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we’ll look to appointment the person who best meets the requirements of the role as outlined in the Person Specification.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selection process for this role will consist of the following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6"/>
      </w:tblGrid>
      <w:tr>
        <w:tc>
          <w:tcPr>
            <w:tcW w:w="9016" w:type="dxa"/>
            <w:shd w:val="clear" w:color="auto" w:fill="auto"/>
            <w:vAlign w:val="top"/>
          </w:tcPr>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1 -</w:t>
            </w:r>
            <w:r>
              <w:rPr>
                <w:rFonts w:ascii="Arial" w:hAnsi="Arial" w:eastAsia="Arial" w:cs="Arial"/>
                <w:i/>
                <w:iCs/>
                <w:sz w:val="22"/>
                <w:szCs w:val="22"/>
                <w:lang w:val="en-GB" w:eastAsia="en-GB" w:bidi="en-GB"/>
              </w:rPr>
              <w:t xml:space="preserve"> Application Review</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Stage 2 -</w:t>
            </w:r>
            <w:r>
              <w:rPr>
                <w:rFonts w:ascii="Arial" w:hAnsi="Arial" w:eastAsia="Arial" w:cs="Arial"/>
                <w:i/>
                <w:iCs/>
                <w:sz w:val="22"/>
                <w:szCs w:val="22"/>
                <w:lang w:val="en-GB" w:eastAsia="en-GB" w:bidi="en-GB"/>
              </w:rPr>
              <w:t xml:space="preserve"> 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Competencies for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Please view our </w:t>
      </w:r>
      <w:r>
        <w:rPr>
          <w:rStyle w:val="Hyperlink"/>
          <w:rFonts w:ascii="Arial" w:hAnsi="Arial" w:eastAsia="Arial" w:cs="Arial"/>
          <w:b/>
          <w:bCs/>
          <w:sz w:val="22"/>
          <w:szCs w:val="22"/>
          <w:lang w:val="en-GB" w:eastAsia="en-GB" w:bidi="en-GB"/>
        </w:rPr>
        <w:fldChar w:fldCharType="begin"/>
      </w:r>
      <w:r>
        <w:rPr>
          <w:rStyle w:val="Hyperlink"/>
          <w:rFonts w:ascii="Arial" w:hAnsi="Arial" w:eastAsia="Arial" w:cs="Arial"/>
          <w:b/>
          <w:bCs/>
          <w:sz w:val="22"/>
          <w:szCs w:val="22"/>
          <w:lang w:val="en-GB" w:eastAsia="en-GB" w:bidi="en-GB"/>
        </w:rPr>
        <w:instrText xml:space="preserve"> HYPERLINK "https://www.sps.gov.uk/careers/working-sps/career-and-development" </w:instrText>
      </w:r>
      <w:r>
        <w:rPr>
          <w:rStyle w:val="Hyperlink"/>
          <w:rFonts w:ascii="Arial" w:hAnsi="Arial" w:eastAsia="Arial" w:cs="Arial"/>
          <w:b/>
          <w:bCs/>
          <w:sz w:val="22"/>
          <w:szCs w:val="22"/>
          <w:lang w:val="en-GB" w:eastAsia="en-GB" w:bidi="en-GB"/>
        </w:rPr>
        <w:fldChar w:fldCharType="separate"/>
      </w:r>
      <w:r>
        <w:rPr>
          <w:rStyle w:val="Hyperlink"/>
          <w:rFonts w:ascii="Arial" w:hAnsi="Arial" w:eastAsia="Arial" w:cs="Arial"/>
          <w:b/>
          <w:bCs/>
          <w:sz w:val="22"/>
          <w:szCs w:val="22"/>
          <w:lang w:val="en-GB" w:eastAsia="en-GB" w:bidi="en-GB"/>
        </w:rPr>
        <w:t xml:space="preserve">Competencies for Success Framework</w:t>
      </w:r>
      <w:r>
        <w:rPr>
          <w:rFonts w:ascii="Arial" w:hAnsi="Arial" w:eastAsia="Arial" w:cs="Arial"/>
          <w:sz w:val="22"/>
          <w:szCs w:val="22"/>
          <w:lang w:val="en-GB" w:eastAsia="en-GB" w:bidi="en-GB"/>
        </w:rPr>
        <w:fldChar w:fldCharType="end"/>
      </w:r>
      <w:r>
        <w:rPr>
          <w:rFonts w:ascii="Arial" w:hAnsi="Arial" w:eastAsia="Arial" w:cs="Arial"/>
          <w:sz w:val="22"/>
          <w:szCs w:val="22"/>
          <w:lang w:val="en-GB" w:eastAsia="en-GB" w:bidi="en-GB"/>
        </w:rPr>
        <w:t xml:space="preserve"> for information on the core behavioural competencies which apply to all our roles. During recruitment, you’ll be assessed on up to four Competencies for Success, as outlined in the below Selection Information.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6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2 National 5 at Grade C or above (including English &amp; Maths/Arithmetic) or equivalent qualifications or relevant experience</w:t>
            </w:r>
          </w:p>
        </w:tc>
        <w:tc>
          <w:tcPr>
            <w:tcW w:w="2410"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lang w:val="en-GB" w:eastAsia="en-GB" w:bidi="en-GB"/>
              </w:rPr>
              <w:t xml:space="preserve">Competent and experienced in all aspects of administration</w:t>
            </w: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sdt>
              <w:sdtPr>
                <w:id w:val="2"/>
                <w:dropDownList>
                  <w:listItem w:displayText="Essential" w:value="Essential"/>
                  <w:listItem w:displayText="Desirable" w:value="Desirable"/>
                </w:dropDownList>
              </w:sdtPr>
              <w:sdtContent>
                <w:r>
                  <w:rPr>
                    <w:rFonts w:ascii="Arial" w:hAnsi="Arial" w:eastAsia="Arial" w:cs="Arial"/>
                    <w:sz w:val="22"/>
                    <w:szCs w:val="22"/>
                    <w:lang w:val="en-GB" w:eastAsia="en-GB" w:bidi="en-GB"/>
                  </w:rPr>
                  <w:t xml:space="preserve">Essential</w:t>
                </w:r>
              </w:sdtContent>
            </w:sdt>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lang w:val="en-GB" w:eastAsia="en-GB" w:bidi="en-GB"/>
              </w:rPr>
              <w:t xml:space="preserve">Competent in the use of Microsoft Office packages including Excel, Word, Outlook etc</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lang w:val="en-GB" w:eastAsia="en-GB" w:bidi="en-GB"/>
              </w:rPr>
              <w:t xml:space="preserve">Ability to effectively prioritise workload to meet departmental and organisational deadlines</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 </w:t>
            </w: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lang w:val="en-GB" w:eastAsia="en-GB" w:bidi="en-GB"/>
              </w:rPr>
              <w:t xml:space="preserve">Excellent skills in both written and verbal to communicate confidently and effectively</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 </w:t>
            </w: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rFonts w:ascii="Arial" w:hAnsi="Arial" w:eastAsia="Arial" w:cs="Arial"/>
                <w:lang w:val="en-GB" w:eastAsia="en-GB" w:bidi="en-GB"/>
              </w:rPr>
              <w:t xml:space="preserve">Ensure accuracy and attention to detail</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 </w:t>
            </w: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tcBorders>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eastAsia="en-GB" w:bidi="en-GB"/>
              </w:rPr>
            </w:pPr>
            <w:r>
              <w:rPr>
                <w:rFonts w:ascii="Arial" w:hAnsi="Arial" w:eastAsia="Arial" w:cs="Arial"/>
                <w:lang w:val="en-GB" w:eastAsia="en-GB" w:bidi="en-GB"/>
              </w:rPr>
              <w:t xml:space="preserve">Ability to work individually and as part of a team</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Style w:val="PlaceholderText"/>
                <w:rFonts w:ascii="Arial" w:hAnsi="Arial" w:eastAsia="Arial" w:cs="Arial"/>
                <w:sz w:val="22"/>
                <w:szCs w:val="22"/>
                <w:lang w:val="en-GB" w:eastAsia="en-GB" w:bidi="en-GB"/>
              </w:rPr>
            </w:pPr>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Competencies for Success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sdt>
              <w:sdtPr>
                <w:id w:val="3"/>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sz w:val="22"/>
                    <w:szCs w:val="22"/>
                    <w:lang w:val="en-US" w:eastAsia="en-US" w:bidi="en-US"/>
                  </w:rPr>
                  <w:t xml:space="preserve">Listen &amp; Communicate</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sdt>
              <w:sdtPr>
                <w:id w:val="4"/>
                <w:dropDownList>
                  <w:listItem w:displayText="Essential" w:value="Essential"/>
                </w:dropDownList>
              </w:sdtPr>
              <w:sdtContent>
                <w:r>
                  <w:rPr>
                    <w:rFonts w:ascii="Arial" w:hAnsi="Arial" w:eastAsia="Arial" w:cs="Arial"/>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Plan &amp; Organise </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 </w:t>
            </w: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US" w:eastAsia="en-US" w:bidi="en-US"/>
              </w:rPr>
            </w:pPr>
            <w:r>
              <w:rPr>
                <w:rFonts w:ascii="Arial" w:hAnsi="Arial" w:eastAsia="Arial" w:cs="Arial"/>
                <w:sz w:val="22"/>
                <w:szCs w:val="22"/>
                <w:lang w:val="en-US" w:eastAsia="en-US" w:bidi="en-US"/>
              </w:rPr>
              <w:t xml:space="preserve">Relationships &amp; Collaboration </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Essential </w:t>
            </w:r>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Date Vacancy Closes for 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PlaceholderText"/>
                <w:rFonts w:ascii="Arial" w:hAnsi="Arial" w:eastAsia="Arial" w:cs="Arial"/>
                <w:color w:val="auto"/>
                <w:sz w:val="22"/>
                <w:szCs w:val="22"/>
                <w:lang w:val="en-GB" w:eastAsia="en-GB" w:bidi="en-GB"/>
              </w:rPr>
            </w:pPr>
            <w:sdt>
              <w:sdtPr>
                <w:id w:val="5"/>
                <w:date w:fullDate="2026-05-08T00:00:00Z">
                  <w:dateFormat w:val="dd/MM/yyyy"/>
                </w:date>
              </w:sdtPr>
              <w:sdtContent>
                <w:r>
                  <w:rPr>
                    <w:rFonts w:ascii="Arial" w:hAnsi="Arial" w:eastAsia="Arial" w:cs="Arial"/>
                    <w:sz w:val="22"/>
                    <w:szCs w:val="22"/>
                    <w:lang w:val="en-GB" w:eastAsia="en-GB" w:bidi="en-GB"/>
                  </w:rPr>
                  <w:t xml:space="preserve">08/05/2026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 Vacancy Closes for Applications</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12 noon</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Interview 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4"/>
                <w:szCs w:val="24"/>
                <w:lang w:val="en-GB" w:eastAsia="en-GB" w:bidi="en-GB"/>
              </w:rPr>
            </w:pPr>
            <w:r>
              <w:rPr>
                <w:rFonts w:ascii="Arial" w:hAnsi="Arial" w:eastAsia="Arial" w:cs="Arial"/>
                <w:sz w:val="22"/>
                <w:szCs w:val="22"/>
                <w:lang w:val="en-GB" w:eastAsia="en-GB" w:bidi="en-GB"/>
              </w:rPr>
              <w:t xml:space="preserve">TBC</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r>
        <w:rPr>
          <w:rFonts w:ascii="Arial" w:hAnsi="Arial" w:eastAsia="Arial" w:cs="Arial"/>
          <w:b/>
          <w:bCs/>
          <w:color w:val="004295"/>
          <w:sz w:val="24"/>
          <w:szCs w:val="24"/>
          <w:lang w:val="en-US" w:eastAsia="en-US" w:bidi="en-US"/>
        </w:rPr>
        <w:t xml:space="preserve">Reasonable Adjustments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We recognise that people may have access needs or require adjustments to help them perform at their best. We refer to these as reasonable adjustments.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 disability, whether visible or non‑visible, or any access needs that would support your full participation in the selection process, please contact Edinburgh HR Team at  EdinburghHRTeam@prisons.gov.scot to discuss how we can best support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Examples of reasonable adjustments we have provided in the past include: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Offering additional time during interviews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Adjusting how interview questions are asked</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Scheduling interviews at a time that works best for you</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Breaking multi‑stage questions into smaller steps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Providing written materials in alternative formats (e.g., different font, colour, or text size)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Sharing extra information about what to expect during the selection process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Printing resources on paper in a preferred colour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hAnsi="Arial" w:eastAsia="Arial" w:cs="Arial"/>
          <w:sz w:val="22"/>
          <w:szCs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sz w:val="22"/>
          <w:szCs w:val="22"/>
          <w:lang w:val="en-US" w:eastAsia="en-US" w:bidi="en-US"/>
        </w:rPr>
      </w:pPr>
      <w:r>
        <w:drawing>
          <wp:anchor distT="0" distB="0" distL="114300" distR="114300" simplePos="0" relativeHeight="251663359" behindDoc="0" locked="0" layoutInCell="1" hidden="0" allowOverlap="1">
            <wp:simplePos x="0" y="0"/>
            <wp:positionH relativeFrom="column">
              <wp:posOffset>2286000</wp:posOffset>
            </wp:positionH>
            <wp:positionV relativeFrom="paragraph">
              <wp:posOffset>52070</wp:posOffset>
            </wp:positionV>
            <wp:extent cx="676275" cy="561975"/>
            <wp:wrapSquare wrapText="bothSides"/>
            <wp:docPr id="5" name="_tx_id_1_Picture 1"/>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676275" cy="561975"/>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6" name="Picture 5"/>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7" name="Picture 8"/>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762000" cy="55245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column">
              <wp:posOffset>4645660</wp:posOffset>
            </wp:positionH>
            <wp:positionV relativeFrom="paragraph">
              <wp:posOffset>83820</wp:posOffset>
            </wp:positionV>
            <wp:extent cx="812800" cy="629920"/>
            <wp:wrapNone/>
            <wp:docPr id="8" name="Picture 9"/>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812800" cy="629920"/>
                    </a:xfrm>
                    <a:prstGeom prst="rect">
                      <a:avLst/>
                    </a:prstGeom>
                  </pic:spPr>
                </pic:pic>
              </a:graphicData>
            </a:graphic>
          </wp:anchor>
        </w:drawing>
      </w:r>
      <w:r>
        <w:drawing>
          <wp:anchor distT="0" distB="0" distL="114300" distR="114300" simplePos="0" relativeHeight="251662335"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857250" cy="523875"/>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Calibri Light">
    <w:panose1 w:val="020F0302020204030204"/>
    <w:charset w:val="00"/>
    <w:family w:val="swiss"/>
    <w:pitch w:val="variable"/>
    <w:sig w:usb0="E0002AFF" w:usb1="C000247B" w:usb2="00000009" w:usb3="00000000" w:csb0="200001F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V1 – March 2026</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Heading1">
    <w:name w:val="heading 1"/>
    <w:basedOn w:val="Normal"/>
    <w:next w:val="Normal"/>
    <w:qFormat/>
    <w:pPr>
      <w:keepNext/>
      <w:keepLines/>
      <w:spacing w:before="240"/>
      <w:outlineLvl w:val="0"/>
    </w:pPr>
    <w:rPr>
      <w:rFonts w:ascii="Calibri Light" w:hAnsi="Calibri Light" w:eastAsia="Calibri Light" w:cs="Calibri Light"/>
      <w:color w:val="2E75B5"/>
      <w:sz w:val="32"/>
      <w:szCs w:val="32"/>
      <w:lang w:val="en-GB" w:eastAsia="en-GB" w:bidi="en-GB"/>
    </w:rPr>
  </w:style>
  <w:style w:type="paragraph" w:styleId="ListParagraph">
    <w:name w:val="List Paragraph"/>
    <w:basedOn w:val="Normal"/>
    <w:next w:val="ListParagraph"/>
    <w:qFormat/>
    <w:pPr>
      <w:ind w:left="720"/>
    </w:pPr>
    <w:rPr>
      <w:lang w:val="en-GB" w:eastAsia="en-GB" w:bidi="en-GB"/>
    </w:rPr>
  </w:style>
  <w:style w:type="character" w:styleId="CommentReference">
    <w:name w:val="annotation reference"/>
    <w:qFormat/>
    <w:rPr>
      <w:sz w:val="16"/>
      <w:szCs w:val="16"/>
      <w:rtl w:val="off"/>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character" w:styleId="Heading 1 Char" w:customStyle="1">
    <w:name w:val="Heading 1 Char"/>
    <w:qFormat/>
    <w:rPr>
      <w:rFonts w:ascii="Calibri Light" w:hAnsi="Calibri Light" w:eastAsia="Calibri Light" w:cs="Calibri Light"/>
      <w:color w:val="2E75B5"/>
      <w:sz w:val="32"/>
      <w:szCs w:val="32"/>
      <w:rtl w:val="off"/>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emf"/>
	<Relationship Id="rId00012" Type="http://schemas.openxmlformats.org/officeDocument/2006/relationships/image" Target="media/image0007.png"/>
	<Relationship Id="rId00015" Type="http://schemas.openxmlformats.org/officeDocument/2006/relationships/numbering" Target="numbering.xml"/>
	<Relationship Id="rId00016" Type="http://schemas.openxmlformats.org/officeDocument/2006/relationships/fontTable" Target="fontTable.xml"/>
	<Relationship Id="rId0001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cp:keywords>Policy; HumanResources; HR</cp:keywords>
  <dc:creator>Claire Neary</dc:creator>
  <dcterms:created xsi:type="dcterms:W3CDTF">2026-04-08T12:27:00Z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0x010100228EE3E351D4394D9264A04A23B125F4</vt:lpwstr>
  </property>
  <property fmtid="{D5CDD505-2E9C-101B-9397-08002B2CF9AE}" pid="11" name="MSIP_Label_345a5628-45e9-4ab3-9be1-66b8fee5ba00_Method">
    <vt:lpwstr>Standard</vt:lpwstr>
  </property>
</Properties>
</file>