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tbl>
      <w:tblPr>
        <w:tblW w:w="0" w:type="auto"/>
        <w:jc w:val="left"/>
        <w:tblInd w:w="0" w:type="dxa"/>
        <w:tblBorders>
          <w:top w:val="single" w:sz="4" w:space="0" w:color="FFFFFF"/>
          <w:left w:val="single" w:sz="4" w:space="0" w:color="FFFFFF"/>
          <w:bottom w:val="single" w:sz="4" w:space="0" w:color="FFFFFF"/>
          <w:right w:val="single" w:sz="4" w:space="0" w:color="FFFFFF"/>
          <w:insideH w:val="none"/>
          <w:insideV w:val="single" w:sz="4" w:space="0" w:color="FFFFFF"/>
        </w:tblBorders>
        <w:tblLayout w:type="fixed"/>
        <w:tblCellMar>
          <w:top w:w="0" w:type="dxa"/>
          <w:left w:w="108" w:type="dxa"/>
          <w:bottom w:w="0" w:type="dxa"/>
          <w:right w:w="108" w:type="dxa"/>
        </w:tblCellMar>
      </w:tblPr>
      <w:tblGrid>
        <w:gridCol w:w="4508"/>
        <w:gridCol w:w="2254"/>
        <w:gridCol w:w="2436"/>
      </w:tblGrid>
      <w:tr>
        <w:trPr>
          <w:trHeight w:val="2117" w:hRule="atLeast"/>
        </w:trPr>
        <w:tc>
          <w:tcPr>
            <w:tcW w:w="4508" w:type="dxa"/>
            <w:tcBorders>
              <w:bottom w:val="single" w:sz="4" w:space="0" w:color="FFFFFF"/>
            </w:tcBorders>
            <w:shd w:val="clear" w:color="auto" w:fill="auto"/>
            <w:vAlign w:val="top"/>
          </w:tcPr>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r>
              <w:pict>
                <v:shape id="Text Box 3" coordsize="21600,21600" o:spt="202" path="m,l,21600r21600,l21600,xe" fillcolor="#FFFFFF" stroked="f" strokeweight="0" style="width:207.75pt;height:63.75pt;position:absolute;margin-left:72.05pt;margin-top:1.7pt;z-index:251662335;mso-wrap-distance-top:45720;mso-wrap-distance-right:114300;mso-wrap-distance-bottom:45720;mso-wrap-distance-left:114300;mso-position-horizontal-relative:page;mso-position-vertical-relative:page;">
                  <v:stroke joinstyle="miter"/>
                  <v:path gradientshapeok="t" o:connecttype="rect"/>
                  <v:textbox inset="7.2pt,3.6pt,7.2pt,3.6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32"/>
                            <w:szCs w:val="32"/>
                            <w:lang w:val="en-GB" w:eastAsia="en-GB" w:bidi="en-GB"/>
                          </w:rPr>
                        </w:pPr>
                        <w:r>
                          <w:rPr>
                            <w:rFonts w:ascii="Arial" w:hAnsi="Arial" w:eastAsia="Arial" w:cs="Arial"/>
                            <w:color w:val="004295"/>
                            <w:sz w:val="32"/>
                            <w:szCs w:val="32"/>
                            <w:lang w:val="en-GB" w:eastAsia="en-GB" w:bidi="en-GB"/>
                          </w:rPr>
                          <w:t xml:space="preserve">UNLOCKING POTENTIAL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32"/>
                            <w:szCs w:val="32"/>
                            <w:lang w:val="en-GB" w:eastAsia="en-GB" w:bidi="en-GB"/>
                          </w:rPr>
                        </w:pPr>
                        <w:r>
                          <w:rPr>
                            <w:rFonts w:ascii="Arial" w:hAnsi="Arial" w:eastAsia="Arial" w:cs="Arial"/>
                            <w:color w:val="004295"/>
                            <w:sz w:val="32"/>
                            <w:szCs w:val="32"/>
                            <w:lang w:val="en-GB" w:eastAsia="en-GB" w:bidi="en-GB"/>
                          </w:rPr>
                          <w:t xml:space="preserve">TRANSFORMING LIVES</w:t>
                        </w:r>
                      </w:p>
                    </w:txbxContent>
                  </v:textbox>
                  <w10:wrap type="none"/>
                </v:shape>
              </w:pict>
            </w:r>
            <w:r>
              <w:drawing>
                <wp:anchor distT="0" distB="0" distL="114300" distR="114300" simplePos="0" relativeHeight="251663359" behindDoc="0" locked="0" layoutInCell="1" hidden="0" allowOverlap="1">
                  <wp:simplePos x="0" y="0"/>
                  <wp:positionH relativeFrom="page">
                    <wp:posOffset>914400</wp:posOffset>
                  </wp:positionH>
                  <wp:positionV relativeFrom="page">
                    <wp:posOffset>635</wp:posOffset>
                  </wp:positionV>
                  <wp:extent cx="1400810" cy="1216660"/>
                  <wp:wrapSquare wrapText="bothSides"/>
                  <wp:docPr id="4" name="Picture 1"/>
                  <a:graphic xmlns:a="http://schemas.openxmlformats.org/drawingml/2006/main">
                    <a:graphicData uri="http://schemas.openxmlformats.org/drawingml/2006/picture">
                      <pic:pic xmlns:pic="http://schemas.openxmlformats.org/drawingml/2006/picture">
                        <pic:nvPicPr>
                          <pic:cNvPr id="0" name="Image 4"/>
                          <pic:cNvPicPr/>
                        </pic:nvPicPr>
                        <pic:blipFill>
                          <a:blip r:embed="rId00006"/>
                          <a:stretch>
                            <a:fillRect/>
                          </a:stretch>
                        </pic:blipFill>
                        <pic:spPr>
                          <a:xfrm>
                            <a:off x="0" y="0"/>
                            <a:ext cx="1400810" cy="1216660"/>
                          </a:xfrm>
                          <a:prstGeom prst="rect">
                            <a:avLst/>
                          </a:prstGeom>
                        </pic:spPr>
                      </pic:pic>
                    </a:graphicData>
                  </a:graphic>
                </wp:anchor>
              </w:drawing>
            </w:r>
            <w:r>
              <mc:AlternateContent>
                <mc:Choice Requires="wps">
                  <w:drawing>
                    <wp:anchor distT="0" distB="0" distL="114300" distR="114300" simplePos="0" relativeHeight="251660287" behindDoc="0" locked="0" layoutInCell="1" hidden="0" allowOverlap="1">
                      <wp:simplePos x="0" y="0"/>
                      <wp:positionH relativeFrom="page">
                        <wp:posOffset>843280</wp:posOffset>
                      </wp:positionH>
                      <wp:positionV relativeFrom="page">
                        <wp:posOffset>-17780</wp:posOffset>
                      </wp:positionV>
                      <wp:extent cx="5759450" cy="111125"/>
                      <wp:wrapNone/>
                      <wp:docPr id="5" name="Rectangle 2"/>
                      <a:graphic xmlns:a="http://schemas.openxmlformats.org/drawingml/2006/main">
                        <a:graphicData uri="http://schemas.microsoft.com/office/word/2010/wordprocessingShape">
                          <wps:wsp>
                            <wps:cNvSpPr/>
                            <wps:spPr>
                              <a:xfrm>
                                <a:off x="0" y="0"/>
                                <a:ext cx="5759450" cy="111125"/>
                              </a:xfrm>
                              <a:prstGeom prst="rect"/>
                              <a:solidFill>
                                <a:srgbClr val="17AFBE"/>
                              </a:solidFill>
                              <a:ln w="9525">
                                <a:solidFill>
                                  <a:srgbClr val="17AFBE"/>
                                </a:solidFill>
                              </a:ln>
                            </wps:spPr>
                            <wps:bodyPr/>
                            <a:extLst>
                              <a:ext uri="{A2A0BA46-8DB7-4952-BFCE-B747086F0524}">
                                <tx19:NetControl tx23:val="drawing" tx23:pict="rId00007"/>
                              </a:ext>
                            </a:extLst>
                          </wps:wsp>
                        </a:graphicData>
                      </a:graphic>
                    </wp:anchor>
                  </w:drawing>
                </mc:Choice>
              </mc:AlternateContent>
            </w:r>
            <w:r>
              <w:rPr>
                <w:lang w:val="en-GB" w:eastAsia="en-GB" w:bidi="en-GB"/>
              </w:rPr>
              <w:t xml:space="preserve">	</w:t>
            </w: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2254" w:type="dxa"/>
            <w:tcBorders>
              <w:bottom w:val="single" w:sz="4" w:space="0" w:color="FFFFFF"/>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2436" w:type="dxa"/>
            <w:tcBorders>
              <w:bottom w:val="single" w:sz="4" w:space="0" w:color="FFFFFF"/>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r>
    </w:tbl>
    <w:tbl>
      <w:tblPr>
        <w:tblW w:w="0" w:type="auto"/>
        <w:jc w:val="left"/>
        <w:tblInd w:w="0" w:type="dxa"/>
        <w:tblBorders>
          <w:top w:val="single" w:sz="4" w:space="0" w:color="auto"/>
          <w:left w:val="single" w:sz="4" w:space="0" w:color="FFFFFF"/>
          <w:bottom w:val="single" w:sz="4" w:space="0" w:color="FFFFFF"/>
          <w:right w:val="single" w:sz="4" w:space="0" w:color="FFFFFF"/>
          <w:insideH w:val="single" w:sz="4" w:space="0" w:color="FFFFFF"/>
          <w:insideV w:val="none"/>
        </w:tblBorders>
        <w:tblLayout w:type="fixed"/>
        <w:tblCellMar>
          <w:top w:w="0" w:type="dxa"/>
          <w:left w:w="108" w:type="dxa"/>
          <w:bottom w:w="0" w:type="dxa"/>
          <w:right w:w="108" w:type="dxa"/>
        </w:tblCellMar>
      </w:tblPr>
      <w:tblGrid>
        <w:gridCol w:w="9198"/>
      </w:tblGrid>
      <w:tr>
        <w:tc>
          <w:tcPr>
            <w:tcW w:w="9198" w:type="dxa"/>
            <w:tcBorders>
              <w:top w:val="single" w:sz="4" w:space="0" w:color="auto"/>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r>
      <w:tr>
        <w:tc>
          <w:tcPr>
            <w:tcW w:w="9198" w:type="dxa"/>
            <w:shd w:val="clear" w:color="auto" w:fill="auto"/>
            <w:vAlign w:val="top"/>
          </w:tcPr>
          <w:p>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4295"/>
                <w:sz w:val="28"/>
                <w:szCs w:val="28"/>
                <w:lang w:val="en-GB" w:eastAsia="en-GB" w:bidi="en-GB"/>
              </w:rPr>
            </w:pPr>
            <w:r>
              <w:rPr>
                <w:rFonts w:ascii="Arial" w:hAnsi="Arial" w:eastAsia="Arial" w:cs="Arial"/>
                <w:b/>
                <w:bCs/>
                <w:color w:val="004295"/>
                <w:sz w:val="28"/>
                <w:szCs w:val="28"/>
                <w:lang w:val="en-GB" w:eastAsia="en-GB" w:bidi="en-GB"/>
              </w:rPr>
              <w:t xml:space="preserve">JOB DESCRIPTION &amp; PERSON SPECIFICATION</w:t>
            </w:r>
          </w:p>
        </w:tc>
      </w:tr>
    </w:tbl>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Job Details</w:t>
      </w: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133"/>
        <w:gridCol w:w="4883"/>
      </w:tblGrid>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Job title</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Report to</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Muslim Chaplain</w:t>
            </w:r>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Head of Offender Outcomes</w:t>
            </w:r>
          </w:p>
        </w:tc>
      </w:tr>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Location</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Department</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1"/>
                <w:dropDownList>
                  <w:listItem w:displayText="Barlinnie" w:value="Barlinnie"/>
                  <w:listItem w:displayText="Castle Huntly" w:value="Castle Huntly"/>
                  <w:listItem w:displayText="Stirling" w:value="Stirling"/>
                  <w:listItem w:displayText="Dumfries" w:value="Dumfries"/>
                  <w:listItem w:displayText="Edinburgh" w:value="Edinburgh"/>
                  <w:listItem w:displayText="Glenochil" w:value="Glenochil"/>
                  <w:listItem w:displayText="Grampian" w:value="Grampian"/>
                  <w:listItem w:displayText="Greenock" w:value="Greenock"/>
                  <w:listItem w:displayText="Headquarters" w:value="Headquarters"/>
                  <w:listItem w:displayText="Inverness" w:value="Inverness"/>
                  <w:listItem w:displayText="Low Moss" w:value="Low Moss"/>
                  <w:listItem w:displayText="National Training Facility " w:value="National Training Facility "/>
                  <w:listItem w:displayText="Perth" w:value="Perth"/>
                  <w:listItem w:displayText="Polmont" w:value="Polmont"/>
                  <w:listItem w:displayText="Shotts" w:value="Shotts"/>
                  <w:listItem w:displayText="SPSC" w:value="SPSC"/>
                  <w:listItem w:displayText="CCU Lilias" w:value="CCU Lilias"/>
                  <w:listItem w:displayText="CCU Bella" w:value="CCU Bella"/>
                  <w:listItem w:displayText="Various Locations" w:value="Various Locations"/>
                </w:dropDownList>
              </w:sdtPr>
              <w:sdtContent>
                <w:r>
                  <w:rPr>
                    <w:rStyle w:val="Style1"/>
                    <w:lang w:val="en-GB" w:eastAsia="en-GB" w:bidi="en-GB"/>
                  </w:rPr>
                  <w:t xml:space="preserve">Shotts</w:t>
                </w:r>
              </w:sdtContent>
            </w:sdt>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2"/>
                <w:dropDownList>
                  <w:listItem w:displayText="Catering" w:value="Catering"/>
                  <w:listItem w:displayText="Chaplaincy" w:value="Chaplaincy"/>
                  <w:listItem w:displayText="Corporate Services" w:value="Corporate Services"/>
                  <w:listItem w:displayText="Estates" w:value="Estates"/>
                  <w:listItem w:displayText="Finance" w:value="Finance"/>
                  <w:listItem w:displayText="Finance and Business Services Directorate" w:value="Finance and Business Services Directorate"/>
                  <w:listItem w:displayText="General Office" w:value="General Office"/>
                  <w:listItem w:displayText="Health and Care Directorate" w:value="Health and Care Directorate"/>
                  <w:listItem w:displayText="Healthcare" w:value="Healthcare"/>
                  <w:listItem w:displayText="HR &amp; Training" w:value="HR &amp; Training"/>
                  <w:listItem w:displayText="HR Directorate" w:value="HR Directorate"/>
                  <w:listItem w:displayText="Industries &amp; Activities" w:value="Industries &amp; Activities"/>
                  <w:listItem w:displayText="ISS" w:value="ISS"/>
                  <w:listItem w:displayText="Operations" w:value="Operations"/>
                  <w:listItem w:displayText="Partnership &amp; Commisions Directorate" w:value="Partnership &amp; Commisions Directorate"/>
                  <w:listItem w:displayText="Prisons Directorate" w:value="Prisons Directorate"/>
                  <w:listItem w:displayText="Procurement" w:value="Procurement"/>
                  <w:listItem w:displayText="Psychology" w:value="Psychology"/>
                  <w:listItem w:displayText="Residential" w:value="Residential"/>
                  <w:listItem w:displayText="Stores &amp; Procurement" w:value="Stores &amp; Procurement"/>
                  <w:listItem w:displayText="Strategy &amp; Innovation Directorate" w:value="Strategy &amp; Innovation Directorate"/>
                </w:dropDownList>
              </w:sdtPr>
              <w:sdtContent>
                <w:r>
                  <w:rPr>
                    <w:rFonts w:ascii="Arial" w:hAnsi="Arial" w:eastAsia="Arial" w:cs="Arial"/>
                    <w:lang w:val="en-GB" w:eastAsia="en-GB" w:bidi="en-GB"/>
                  </w:rPr>
                  <w:t xml:space="preserve">Chaplaincy</w:t>
                </w:r>
              </w:sdtContent>
            </w:sdt>
          </w:p>
        </w:tc>
      </w:tr>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Hours of work</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Number of hours</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3"/>
                <w:dropDownList>
                  <w:listItem w:displayText="All Hours Required" w:value="All Hours Required"/>
                  <w:listItem w:displayText="Normal Office Hours" w:value="Normal Office Hours"/>
                  <w:listItem w:displayText="Shift Work" w:value="Shift Work"/>
                  <w:listItem w:displayText="Part Time" w:value="Part Time"/>
                  <w:listItem w:displayText="Suitable for Job Share" w:value="Suitable for Job Share"/>
                </w:dropDownList>
              </w:sdtPr>
              <w:sdtContent>
                <w:r>
                  <w:rPr>
                    <w:rFonts w:ascii="Arial" w:hAnsi="Arial" w:eastAsia="Arial" w:cs="Arial"/>
                    <w:lang w:val="en-GB" w:eastAsia="en-GB" w:bidi="en-GB"/>
                  </w:rPr>
                  <w:t xml:space="preserve">Part Time</w:t>
                </w:r>
              </w:sdtContent>
            </w:sdt>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r>
              <w:rPr>
                <w:rFonts w:ascii="Arial" w:hAnsi="Arial" w:eastAsia="Arial" w:cs="Arial"/>
                <w:lang w:val="en-GB" w:eastAsia="en-GB" w:bidi="en-GB"/>
              </w:rPr>
              <w:t xml:space="preserve">8</w:t>
            </w:r>
          </w:p>
        </w:tc>
      </w:tr>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Job role status</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Is C&amp;R/PPT a requirement? </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4"/>
                <w:dropDownList>
                  <w:listItem w:displayText="Operational" w:value="Operational"/>
                  <w:listItem w:displayText="Non-Operational" w:value="Non-Operational"/>
                </w:dropDownList>
              </w:sdtPr>
              <w:sdtContent>
                <w:r>
                  <w:rPr>
                    <w:rStyle w:val="Style4"/>
                    <w:lang w:val="en-GB" w:eastAsia="en-GB" w:bidi="en-GB"/>
                  </w:rPr>
                  <w:t xml:space="preserve">Non-Operational</w:t>
                </w:r>
              </w:sdtContent>
            </w:sdt>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5"/>
                <w:dropDownList>
                  <w:listItem w:displayText="C&amp;R" w:value="C&amp;R"/>
                  <w:listItem w:displayText="PPT" w:value="PPT"/>
                  <w:listItem w:displayText="None" w:value="None"/>
                </w:dropDownList>
              </w:sdtPr>
              <w:sdtContent>
                <w:r>
                  <w:rPr>
                    <w:rFonts w:ascii="Arial" w:hAnsi="Arial" w:eastAsia="Arial" w:cs="Arial"/>
                    <w:lang w:val="en-GB" w:eastAsia="en-GB" w:bidi="en-GB"/>
                  </w:rPr>
                  <w:t xml:space="preserve">PPT</w:t>
                </w:r>
              </w:sdtContent>
            </w:sdt>
          </w:p>
        </w:tc>
      </w:tr>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Pay band </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Does this role attract any additional allowances (e.g. on-call allowance, RRA)?</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sdt>
              <w:sdtPr>
                <w:id w:val="6"/>
                <w:dropDownList>
                  <w:listItem w:displayText="B " w:value="B "/>
                  <w:listItem w:displayText="C " w:value="C "/>
                  <w:listItem w:displayText="D " w:value="D "/>
                  <w:listItem w:displayText="E " w:value="E "/>
                  <w:listItem w:displayText="F " w:value="F "/>
                  <w:listItem w:displayText="G " w:value="G "/>
                  <w:listItem w:displayText="H " w:value="H "/>
                  <w:listItem w:displayText="I" w:value="I"/>
                </w:dropDownList>
              </w:sdtPr>
              <w:sdtContent>
                <w:r>
                  <w:rPr>
                    <w:rFonts w:ascii="Arial" w:hAnsi="Arial" w:eastAsia="Arial" w:cs="Arial"/>
                    <w:lang w:val="en-GB" w:eastAsia="en-GB" w:bidi="en-GB"/>
                  </w:rPr>
                  <w:t xml:space="preserve">F </w:t>
                </w:r>
              </w:sdtContent>
            </w:sdt>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Job Description</w:t>
      </w: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none"/>
        </w:tblBorders>
        <w:tblLayout w:type="fixed"/>
        <w:tblCellMar>
          <w:top w:w="0" w:type="dxa"/>
          <w:left w:w="108" w:type="dxa"/>
          <w:bottom w:w="0" w:type="dxa"/>
          <w:right w:w="108" w:type="dxa"/>
        </w:tblCellMar>
      </w:tblPr>
      <w:tblGrid>
        <w:gridCol w:w="9016"/>
      </w:tblGrid>
      <w:tr>
        <w:tc>
          <w:tcPr>
            <w:tcW w:w="9016"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Job Purpose</w:t>
            </w:r>
          </w:p>
        </w:tc>
      </w:tr>
      <w:tr>
        <w:tc>
          <w:tcPr>
            <w:tcW w:w="901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color w:val="FF0000"/>
                <w:lang w:val="en-GB" w:eastAsia="en-GB" w:bidi="en-GB"/>
              </w:rPr>
            </w:pPr>
            <w:r>
              <w:rPr>
                <w:rFonts w:ascii="Arial" w:hAnsi="Arial" w:eastAsia="Arial" w:cs="Arial"/>
                <w:lang w:val="en-GB" w:eastAsia="en-GB" w:bidi="en-GB"/>
              </w:rPr>
              <w:t xml:space="preserve">The Muslim Prison Chaplain carries out their duties in co-operation with members of an inter-faith chaplaincy team. Together they are responsible for the provision of chaplaincy services to all persons in custody </w:t>
            </w:r>
            <w:r>
              <w:rPr>
                <w:rFonts w:ascii="Arial" w:hAnsi="Arial" w:eastAsia="Arial" w:cs="Arial"/>
                <w:color w:val="000000"/>
                <w:lang w:val="en-GB" w:eastAsia="en-GB" w:bidi="en-GB"/>
              </w:rPr>
              <w:t xml:space="preserve">at</w:t>
            </w:r>
            <w:r>
              <w:rPr>
                <w:rFonts w:ascii="Arial" w:hAnsi="Arial" w:eastAsia="Arial" w:cs="Arial"/>
                <w:color w:val="FF0000"/>
                <w:lang w:val="en-GB" w:eastAsia="en-GB" w:bidi="en-GB"/>
              </w:rPr>
              <w:t xml:space="preserve"> HMP Shotts</w:t>
            </w: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There are three important areas of work, these are: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lang w:val="en-GB" w:eastAsia="en-GB" w:bidi="en-GB"/>
              </w:rPr>
            </w:pPr>
            <w:r>
              <w:rPr>
                <w:rFonts w:ascii="Arial" w:hAnsi="Arial" w:eastAsia="Arial" w:cs="Arial"/>
                <w:b/>
                <w:bCs/>
                <w:lang w:val="en-GB" w:eastAsia="en-GB" w:bidi="en-GB"/>
              </w:rPr>
              <w:t xml:space="preserve">Religious Care</w:t>
            </w:r>
            <w:r>
              <w:rPr>
                <w:rFonts w:ascii="Arial" w:hAnsi="Arial" w:eastAsia="Arial" w:cs="Arial"/>
                <w:lang w:val="en-GB" w:eastAsia="en-GB" w:bidi="en-GB"/>
              </w:rPr>
              <w:t xml:space="preserve"> is offered to all those wishing to practice their faith and includes leading regular services of prayers, worship, studies of religious texts, and faith-based groups.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lang w:val="en-GB" w:eastAsia="en-GB" w:bidi="en-GB"/>
              </w:rPr>
            </w:pPr>
            <w:r>
              <w:rPr>
                <w:rFonts w:ascii="Arial" w:hAnsi="Arial" w:eastAsia="Arial" w:cs="Arial"/>
                <w:b/>
                <w:bCs/>
                <w:lang w:val="en-GB" w:eastAsia="en-GB" w:bidi="en-GB"/>
              </w:rPr>
              <w:t xml:space="preserve">Pastoral Care</w:t>
            </w:r>
            <w:r>
              <w:rPr>
                <w:rFonts w:ascii="Arial" w:hAnsi="Arial" w:eastAsia="Arial" w:cs="Arial"/>
                <w:lang w:val="en-GB" w:eastAsia="en-GB" w:bidi="en-GB"/>
              </w:rPr>
              <w:t xml:space="preserve"> is provided, usually individually, to everyone and particularly those in most need – the bereaved and the distressed, those who are at risk of harm to self, and those most vulnerable including new admissions.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lang w:val="en-GB" w:eastAsia="en-GB" w:bidi="en-GB"/>
              </w:rPr>
            </w:pPr>
            <w:r>
              <w:rPr>
                <w:rFonts w:ascii="Arial" w:hAnsi="Arial" w:eastAsia="Arial" w:cs="Arial"/>
                <w:b/>
                <w:bCs/>
                <w:lang w:val="en-GB" w:eastAsia="en-GB" w:bidi="en-GB"/>
              </w:rPr>
              <w:t xml:space="preserve">Spiritual Care</w:t>
            </w:r>
            <w:r>
              <w:rPr>
                <w:rFonts w:ascii="Arial" w:hAnsi="Arial" w:eastAsia="Arial" w:cs="Arial"/>
                <w:lang w:val="en-GB" w:eastAsia="en-GB" w:bidi="en-GB"/>
              </w:rPr>
              <w:t xml:space="preserve"> accompanies and supports people of all faiths and none on their journey to discover purpose and meaning in life and to develop the resources to live a fulfilled life.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4"/>
                <w:szCs w:val="24"/>
                <w:lang w:val="en-GB" w:eastAsia="en-GB" w:bidi="en-GB"/>
              </w:rPr>
            </w:pPr>
            <w:r>
              <w:rPr>
                <w:rFonts w:ascii="Arial" w:hAnsi="Arial" w:eastAsia="Arial" w:cs="Arial"/>
                <w:shd w:val="clear" w:color="auto" w:fill="FFFFFF"/>
                <w:lang w:val="en-GB" w:eastAsia="en-GB" w:bidi="en-GB"/>
              </w:rPr>
              <w:t xml:space="preserve">As part of your application, you will be required to provide a response to a question on each of these key areas.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The Scottish Prison Service (SPS) Strategy Framework on Spiritual and Pastoral Care, Religion and Belief, is the foundational document for the delivery of chaplaincy across the SPS and the practice of prison chaplains should reflect this. This may be found at: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Style w:val="Hyperlink"/>
                <w:rFonts w:ascii="Arial" w:hAnsi="Arial" w:eastAsia="Arial" w:cs="Arial"/>
                <w:sz w:val="24"/>
                <w:szCs w:val="24"/>
                <w:lang w:val="en-GB" w:eastAsia="en-GB" w:bidi="en-GB"/>
              </w:rPr>
              <w:fldChar w:fldCharType="begin"/>
            </w:r>
            <w:r>
              <w:rPr>
                <w:rStyle w:val="Hyperlink"/>
                <w:rFonts w:ascii="Arial" w:hAnsi="Arial" w:eastAsia="Arial" w:cs="Arial"/>
                <w:sz w:val="24"/>
                <w:szCs w:val="24"/>
                <w:lang w:val="en-GB" w:eastAsia="en-GB" w:bidi="en-GB"/>
              </w:rPr>
              <w:instrText xml:space="preserve"> HYPERLINK "https://gbr01.safelinks.protection.outlook.com/?url=https%3A%2F%2Fprisonsgovscot.sharepoint.com.mcas.ms%2Fsites%2FC-SSE-Chaplaincy%2FPolicy%2520Documents%2FForms%2FAllItems.aspx%3Fid%3D%2Fsites%2FC-SSE-Chaplaincy%2FPolicy%2520Documents%2FFoundational%2520Documents%2FChaplaincy%2520Framework.pdf%26parent%3D%2Fsites%2FC-SSE-Chaplaincy%2FPolicy%2520Documents%2FFoundational%2520Documents%26McasTsid%3D20892%26McasCtx%3D4&amp;data=05%7C02%7CRachael.Ferguson%40prisons.gov.scot%7C0c3d1fcfdbe24f442e0908dd45c97892%7C72e022f21d7b48a2872da0ff35f57a8d%7C0%7C0%7C638743453788991632%7CUnknown%7CTWFpbGZsb3d8eyJFbXB0eU1hcGkiOnRydWUsIlYiOiIwLjAuMDAwMCIsIlAiOiJXaW4zMiIsIkFOIjoiTWFpbCIsIldUIjoyfQ%3D%3D%7C0%7C%7C%7C&amp;sdata=Xr5KU7KATdIok1gRDroWYCGnFYegeeoF4XF3AB2xEuU%3D&amp;reserved=0" </w:instrText>
            </w:r>
            <w:r>
              <w:rPr>
                <w:rStyle w:val="Hyperlink"/>
                <w:rFonts w:ascii="Arial" w:hAnsi="Arial" w:eastAsia="Arial" w:cs="Arial"/>
                <w:sz w:val="24"/>
                <w:szCs w:val="24"/>
                <w:lang w:val="en-GB" w:eastAsia="en-GB" w:bidi="en-GB"/>
              </w:rPr>
              <w:fldChar w:fldCharType="separate"/>
            </w:r>
            <w:r>
              <w:rPr>
                <w:rStyle w:val="Hyperlink"/>
                <w:rFonts w:ascii="Arial" w:hAnsi="Arial" w:eastAsia="Arial" w:cs="Arial"/>
                <w:sz w:val="24"/>
                <w:szCs w:val="24"/>
                <w:lang w:val="en-GB" w:eastAsia="en-GB" w:bidi="en-GB"/>
              </w:rPr>
              <w:t xml:space="preserve">Chaplaincy Framework</w:t>
            </w:r>
            <w:r>
              <w:rPr>
                <w:rFonts w:ascii="Arial" w:hAnsi="Arial" w:eastAsia="Arial" w:cs="Arial"/>
                <w:lang w:val="en-GB" w:eastAsia="en-GB" w:bidi="en-GB"/>
              </w:rPr>
              <w:fldChar w:fldCharType="end"/>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50" w:line="240" w:lineRule="auto"/>
              <w:rPr>
                <w:rFonts w:ascii="Arial" w:hAnsi="Arial" w:eastAsia="Arial" w:cs="Arial"/>
                <w:color w:val="1E2F56"/>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50" w:line="240" w:lineRule="auto"/>
              <w:rPr>
                <w:rFonts w:ascii="Arial" w:hAnsi="Arial" w:eastAsia="Arial" w:cs="Arial"/>
                <w:lang w:val="en-GB" w:eastAsia="en-GB" w:bidi="en-GB"/>
              </w:rPr>
            </w:pPr>
            <w:r>
              <w:rPr>
                <w:rFonts w:ascii="Arial" w:hAnsi="Arial" w:eastAsia="Arial" w:cs="Arial"/>
                <w:lang w:val="en-GB" w:eastAsia="en-GB" w:bidi="en-GB"/>
              </w:rPr>
              <w:t xml:space="preserve">Further reading and information on Scottish Criminal Justice System and Chaplaincy can be found here:</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50" w:line="240" w:lineRule="auto"/>
              <w:rPr>
                <w:rFonts w:ascii="Arial" w:hAnsi="Arial" w:eastAsia="Arial" w:cs="Arial"/>
                <w:lang w:val="en-GB" w:eastAsia="en-GB" w:bidi="en-GB"/>
              </w:rPr>
            </w:pPr>
            <w:r>
              <w:rPr>
                <w:rStyle w:val="Hyperlink"/>
                <w:rFonts w:ascii="Arial" w:hAnsi="Arial" w:eastAsia="Arial" w:cs="Arial"/>
                <w:lang w:val="en-GB" w:eastAsia="en-GB" w:bidi="en-GB"/>
              </w:rPr>
              <w:fldChar w:fldCharType="begin"/>
            </w:r>
            <w:r>
              <w:rPr>
                <w:rStyle w:val="Hyperlink"/>
                <w:rFonts w:ascii="Arial" w:hAnsi="Arial" w:eastAsia="Arial" w:cs="Arial"/>
                <w:lang w:val="en-GB" w:eastAsia="en-GB" w:bidi="en-GB"/>
              </w:rPr>
              <w:instrText xml:space="preserve"> HYPERLINK "https://www.gov.scot/binaries/content/documents/govscot/publications/strategy-plan/2022/02/vision-justice-scotland/documents/vision-justice-scotland-2022/vision-justice-scotland-2022/govscot%3Adocument/vision-justice-scotland-2022.pdf" </w:instrText>
            </w:r>
            <w:r>
              <w:rPr>
                <w:rStyle w:val="Hyperlink"/>
                <w:rFonts w:ascii="Arial" w:hAnsi="Arial" w:eastAsia="Arial" w:cs="Arial"/>
                <w:lang w:val="en-GB" w:eastAsia="en-GB" w:bidi="en-GB"/>
              </w:rPr>
              <w:fldChar w:fldCharType="separate"/>
            </w:r>
            <w:r>
              <w:rPr>
                <w:rStyle w:val="Hyperlink"/>
                <w:rFonts w:ascii="Arial" w:hAnsi="Arial" w:eastAsia="Arial" w:cs="Arial"/>
                <w:lang w:val="en-GB" w:eastAsia="en-GB" w:bidi="en-GB"/>
              </w:rPr>
              <w:t xml:space="preserve">https://www.gov.scot/binaries/content/documents/govscot/publications/strategy-plan/2022/02/vision-justice-scotland/documents/vision-justice-scotland-2022/vision-justice-scotland-2022/govscot%3Adocument/vision-justice-scotland-2022.pdf</w:t>
            </w:r>
            <w:r>
              <w:rPr>
                <w:rFonts w:ascii="Arial" w:hAnsi="Arial" w:eastAsia="Arial" w:cs="Arial"/>
                <w:lang w:val="en-GB" w:eastAsia="en-GB" w:bidi="en-GB"/>
              </w:rPr>
              <w:fldChar w:fldCharType="end"/>
            </w:r>
            <w:r>
              <w:rPr>
                <w:rFonts w:ascii="Arial" w:hAnsi="Arial" w:eastAsia="Arial" w:cs="Arial"/>
                <w:lang w:val="en-GB" w:eastAsia="en-GB" w:bidi="en-GB"/>
              </w:rPr>
              <w:t xml:space="preserve"> </w:t>
            </w:r>
          </w:p>
          <w:p>
            <w:pPr>
              <w:pStyle w:val="NormalWeb"/>
              <w:tabs>
                <w:tab w:val="left" w:pos="3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rFonts w:ascii="Arial" w:hAnsi="Arial" w:eastAsia="Arial" w:cs="Arial"/>
                <w:sz w:val="22"/>
                <w:szCs w:val="22"/>
                <w:lang w:val="en-GB" w:eastAsia="en-GB" w:bidi="en-GB"/>
              </w:rPr>
            </w:pPr>
          </w:p>
        </w:tc>
      </w:tr>
      <w:tr>
        <w:tc>
          <w:tcPr>
            <w:tcW w:w="9016" w:type="dxa"/>
            <w:tcBorders>
              <w:bottom w:val="single" w:sz="4" w:space="0" w:color="auto"/>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Key Responsibilities of the Role</w:t>
            </w:r>
          </w:p>
        </w:tc>
      </w:tr>
    </w:tbl>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533"/>
        <w:gridCol w:w="8483"/>
      </w:tblGrid>
      <w:tr>
        <w:tc>
          <w:tcPr>
            <w:tcW w:w="533" w:type="dxa"/>
            <w:tcBorders>
              <w:top w:val="single" w:sz="4" w:space="0" w:color="auto"/>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1</w:t>
            </w:r>
          </w:p>
        </w:tc>
        <w:tc>
          <w:tcPr>
            <w:tcW w:w="8483" w:type="dxa"/>
            <w:tcBorders>
              <w:top w:val="single" w:sz="4" w:space="0" w:color="auto"/>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b/>
                <w:bCs/>
                <w:lang w:val="en-GB" w:eastAsia="en-GB" w:bidi="en-GB"/>
              </w:rPr>
            </w:pPr>
            <w:r>
              <w:rPr>
                <w:rFonts w:ascii="Arial" w:hAnsi="Arial" w:eastAsia="Arial" w:cs="Arial"/>
                <w:b/>
                <w:bCs/>
                <w:lang w:val="en-GB" w:eastAsia="en-GB" w:bidi="en-GB"/>
              </w:rPr>
              <w:t xml:space="preserve">Provide Religious Services and Advice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Responsible for arranging and leading weekly Islamic worship, including Friday prayers </w:t>
            </w:r>
            <w:r>
              <w:rPr>
                <w:rFonts w:ascii="Arial" w:hAnsi="Arial" w:eastAsia="Arial" w:cs="Arial"/>
                <w:i/>
                <w:iCs/>
                <w:lang w:val="en-GB" w:eastAsia="en-GB" w:bidi="en-GB"/>
              </w:rPr>
              <w:t xml:space="preserve">(Jumu’ah),</w:t>
            </w:r>
            <w:r>
              <w:rPr>
                <w:rFonts w:ascii="Arial" w:hAnsi="Arial" w:eastAsia="Arial" w:cs="Arial"/>
                <w:lang w:val="en-GB" w:eastAsia="en-GB" w:bidi="en-GB"/>
              </w:rPr>
              <w:t xml:space="preserve"> Eid prayers, and other Islamic observances. Ensure continuity of provision for Friday prayers (where the establishment is able to facilitate) and weekly worship, including collaboration with chaplains from other establishments and partnership working with local mosques and Muslim faith groups, where necessary. Provide religious leadership and guidance in accordance with Islamic belief and practice, and support and oversee religious observance during Ramadan, including fasting arrangements and associated worship. Ensure access to Islamic religious materials, including the Qur’an, prayer mats and approved literature.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lang w:val="en-GB" w:eastAsia="en-GB" w:bidi="en-GB"/>
              </w:rPr>
            </w:pPr>
            <w:r>
              <w:rPr>
                <w:rFonts w:ascii="Arial" w:hAnsi="Arial" w:eastAsia="Arial" w:cs="Arial"/>
                <w:lang w:val="en-GB" w:eastAsia="en-GB" w:bidi="en-GB"/>
              </w:rPr>
              <w:t xml:space="preserve">Arranging access to representatives of other faith and belief traditions when requested and in line with SPS protocols.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Arrange marriages when requested (where appropriate) and provide advice to local management and staff on religious issues.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2</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Provide Religious Care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Make arrangements for religious teaching in the relevant faith-tradition. This will include individual and group discussions concerning the study of scripture and tradition, moral and ethical matters, and classes leading to religious confirmation or initiation e.g. baptism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Recruit Chaplaincy Volunteers and provide monitoring and assurance in compliance with SPS Volunteering Protocols and in liaison with other Chaplaincy Team members.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3</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Provide Pastoral Care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Provide  pastoral care to all as part of the Integrated Care Pathway (ICP), sharing important information with others; with a priority for the vulnerable, new admissions,  those on SPS prevention of suicide strategy (Talk to Me),  and in segregation units. Chaplains are also available to staff.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Chaplains are part of an interfaith Chaplaincy Team, and must be prepared to provide advice and support to all in SPS care, including those of other faiths, traditions and beliefs (and none).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4</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Provide Bereavement Care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Provide immediate care to those who are bereaved who are residents or working in prison.  This may include assisting with Funeral arrangements and leading funeral prayers and religious services, where appropriate, providing ongoing support and signposting where necessary.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Provide bereavement support for those who are experiencing unresolved grief due to a loss prior to imprisonment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Support the whole prison community following a Death in Custody, ensuring all relevant Chaplaincy protocols are followed, including support and liaison with families, and engaging with the SPS Death in Prison Learning and Review process.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5</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b/>
                <w:bCs/>
                <w:lang w:val="en-GB" w:eastAsia="en-GB" w:bidi="en-GB"/>
              </w:rPr>
            </w:pPr>
            <w:r>
              <w:rPr>
                <w:rFonts w:ascii="Arial" w:hAnsi="Arial" w:eastAsia="Arial" w:cs="Arial"/>
                <w:b/>
                <w:bCs/>
                <w:lang w:val="en-GB" w:eastAsia="en-GB" w:bidi="en-GB"/>
              </w:rPr>
              <w:t xml:space="preserve">Provide Spiritual Care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Working together with SPS colleagues as part of the Integrated Care Pathway (and with external organisations where appropriate) to provide encouragement, role modelling, building self-esteem and opportunities to belong; accompanying and supporting people of all faiths and none on their journey to discover purpose and meaning in life, developing the resources to live a fulfilled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6</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b/>
                <w:bCs/>
                <w:lang w:val="en-GB" w:eastAsia="en-GB" w:bidi="en-GB"/>
              </w:rPr>
            </w:pPr>
            <w:r>
              <w:rPr>
                <w:rFonts w:ascii="Arial" w:hAnsi="Arial" w:eastAsia="Arial" w:cs="Arial"/>
                <w:b/>
                <w:bCs/>
                <w:lang w:val="en-GB" w:eastAsia="en-GB" w:bidi="en-GB"/>
              </w:rPr>
              <w:t xml:space="preserve">Facilitate Throughcare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Facilitate throughcare by working together with SPS colleagues as part of the Integrated Care Pathway and especially by developing contact with external faith-groups and organisations to the benefit of prisoners on release.  Signposting to throughcare organisations and follow-up after release.</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Person Specification</w:t>
      </w: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6658"/>
        <w:gridCol w:w="2409"/>
      </w:tblGrid>
      <w:tr>
        <w:tc>
          <w:tcPr>
            <w:tcW w:w="6658"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Criteria</w:t>
            </w:r>
          </w:p>
        </w:tc>
        <w:tc>
          <w:tcPr>
            <w:tcW w:w="2409"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Essential or Desirable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67"/>
      </w:tblGrid>
      <w:tr>
        <w:tc>
          <w:tcPr>
            <w:tcW w:w="9067"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Qualifications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6658"/>
        <w:gridCol w:w="2409"/>
      </w:tblGrid>
      <w:tr>
        <w:trPr>
          <w:trHeight w:val="836" w:hRule="atLeast"/>
        </w:trPr>
        <w:tc>
          <w:tcPr>
            <w:tcW w:w="6658" w:type="dxa"/>
            <w:tcBorders>
              <w:top w:val="single" w:sz="4" w:space="0" w:color="92CDDC"/>
            </w:tcBorders>
            <w:shd w:val="clear" w:color="auto" w:fill="DAEEF3"/>
            <w:vAlign w:val="top"/>
          </w:tcPr>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color w:val="0E0E0E"/>
                <w:lang w:val="en-GB" w:eastAsia="en-GB" w:bidi="en-GB"/>
              </w:rPr>
            </w:pPr>
            <w:r>
              <w:rPr>
                <w:rFonts w:ascii="Arial" w:hAnsi="Arial" w:eastAsia="Arial" w:cs="Arial"/>
                <w:lang w:val="en-GB" w:eastAsia="en-GB" w:bidi="en-GB"/>
              </w:rPr>
              <w:t xml:space="preserve">To be eligible for this position,</w:t>
            </w:r>
            <w:r>
              <w:rPr>
                <w:rFonts w:ascii="Arial" w:hAnsi="Arial" w:eastAsia="Arial" w:cs="Arial"/>
                <w:color w:val="0E0E0E"/>
                <w:lang w:val="en-GB" w:eastAsia="en-GB" w:bidi="en-GB"/>
              </w:rPr>
              <w:t xml:space="preserve"> you must be a practising Muslim and a </w:t>
            </w:r>
            <w:r>
              <w:rPr>
                <w:rStyle w:val="s1"/>
                <w:rFonts w:ascii="Arial" w:hAnsi="Arial" w:eastAsia="Arial" w:cs="Arial"/>
                <w:color w:val="0E0E0E"/>
                <w:lang w:val="en-GB" w:eastAsia="en-GB" w:bidi="en-GB"/>
              </w:rPr>
              <w:t xml:space="preserve">recognised Islamic religious leader</w:t>
            </w:r>
            <w:r>
              <w:rPr>
                <w:rFonts w:ascii="Arial" w:hAnsi="Arial" w:eastAsia="Arial" w:cs="Arial"/>
                <w:color w:val="0E0E0E"/>
                <w:lang w:val="en-GB" w:eastAsia="en-GB" w:bidi="en-GB"/>
              </w:rPr>
              <w:t xml:space="preserve"> </w:t>
            </w:r>
            <w:r>
              <w:rPr>
                <w:rFonts w:ascii="Arial" w:hAnsi="Arial" w:eastAsia="Arial" w:cs="Arial"/>
                <w:i/>
                <w:iCs/>
                <w:color w:val="0E0E0E"/>
                <w:lang w:val="en-GB" w:eastAsia="en-GB" w:bidi="en-GB"/>
              </w:rPr>
              <w:t xml:space="preserve">(Imam)</w:t>
            </w:r>
            <w:r>
              <w:rPr>
                <w:rFonts w:ascii="Arial" w:hAnsi="Arial" w:eastAsia="Arial" w:cs="Arial"/>
                <w:color w:val="0E0E0E"/>
                <w:lang w:val="en-GB" w:eastAsia="en-GB" w:bidi="en-GB"/>
              </w:rPr>
              <w:t xml:space="preserve"> in good standing with your community from a recognised Islamic institution or authority.</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left="720" w:hanging="360"/>
              <w:jc w:val="both"/>
              <w:rPr>
                <w:rFonts w:ascii="Arial" w:hAnsi="Arial" w:eastAsia="Arial" w:cs="Arial"/>
                <w:lang w:val="en-GB" w:eastAsia="en-GB" w:bidi="en-GB"/>
              </w:rPr>
            </w:pPr>
            <w:r>
              <w:rPr>
                <w:rFonts w:ascii="Arial" w:hAnsi="Arial" w:eastAsia="Arial" w:cs="Arial"/>
                <w:lang w:val="en-GB" w:eastAsia="en-GB" w:bidi="en-GB"/>
              </w:rPr>
              <w:t xml:space="preserve">Must have demonstrable knowledge of different schools of thought and denominations within Islam and be willing to help in, encourage interest in, and facilitate practice of those schools and denominations when required by different segments of the congregation.  </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left="720" w:hanging="360"/>
              <w:jc w:val="both"/>
              <w:rPr>
                <w:rFonts w:ascii="Arial" w:hAnsi="Arial" w:eastAsia="Arial" w:cs="Arial"/>
                <w:lang w:val="en-GB" w:eastAsia="en-GB" w:bidi="en-GB"/>
              </w:rPr>
            </w:pPr>
            <w:r>
              <w:rPr>
                <w:rFonts w:ascii="Arial" w:hAnsi="Arial" w:eastAsia="Arial" w:cs="Arial"/>
                <w:lang w:val="en-GB" w:eastAsia="en-GB" w:bidi="en-GB"/>
              </w:rPr>
              <w:t xml:space="preserve">Be proficient in Tajweed (correct pronunciation of Arabic). </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left="720" w:hanging="360"/>
              <w:jc w:val="both"/>
              <w:rPr>
                <w:rFonts w:ascii="Arial" w:hAnsi="Arial" w:eastAsia="Arial" w:cs="Arial"/>
                <w:lang w:val="en-GB" w:eastAsia="en-GB" w:bidi="en-GB"/>
              </w:rPr>
            </w:pPr>
            <w:r>
              <w:rPr>
                <w:rFonts w:ascii="Arial" w:hAnsi="Arial" w:eastAsia="Arial" w:cs="Arial"/>
                <w:lang w:val="en-GB" w:eastAsia="en-GB" w:bidi="en-GB"/>
              </w:rPr>
              <w:t xml:space="preserve">Must be able to lead Islamic worship and provide recognised religious guidance within a custodial environment. </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left="720" w:hanging="360"/>
              <w:jc w:val="both"/>
              <w:rPr>
                <w:rFonts w:ascii="Arial" w:hAnsi="Arial" w:eastAsia="Arial" w:cs="Arial"/>
                <w:lang w:val="en-GB" w:eastAsia="en-GB" w:bidi="en-GB"/>
              </w:rPr>
            </w:pPr>
            <w:r>
              <w:rPr>
                <w:rFonts w:ascii="Arial" w:hAnsi="Arial" w:eastAsia="Arial" w:cs="Arial"/>
                <w:lang w:val="en-GB" w:eastAsia="en-GB" w:bidi="en-GB"/>
              </w:rPr>
              <w:t xml:space="preserve">If successful at interview, you will be asked to provide a formal endorsement from a recognised Muslim authority, acceptable to the SPS Islamic Chaplaincy Advisor. This letter must be on headed paper from your leadership body and signed off by the appropriate person.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tc>
        <w:tc>
          <w:tcPr>
            <w:tcW w:w="2409"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7"/>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r>
        <w:trPr>
          <w:trHeight w:val="836" w:hRule="atLeast"/>
        </w:trPr>
        <w:tc>
          <w:tcPr>
            <w:tcW w:w="6658" w:type="dxa"/>
            <w:tcBorders>
              <w:bottom w:val="single" w:sz="4" w:space="0" w:color="92CDDC"/>
            </w:tcBorders>
            <w:shd w:val="clear" w:color="auto" w:fill="DAEEF3"/>
            <w:vAlign w:val="top"/>
          </w:tcPr>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lang w:val="en-GB" w:eastAsia="en-GB" w:bidi="en-GB"/>
              </w:rPr>
            </w:pPr>
            <w:r>
              <w:rPr>
                <w:rFonts w:ascii="Arial" w:hAnsi="Arial" w:eastAsia="Arial" w:cs="Arial"/>
                <w:lang w:val="en-GB" w:eastAsia="en-GB" w:bidi="en-GB"/>
              </w:rPr>
              <w:t xml:space="preserve">Hold a recognised qualification in Islamic Studies at 'Alimiyyah / graduate level. Please upload your certificate / Ijazah.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tc>
        <w:tc>
          <w:tcPr>
            <w:tcW w:w="2409"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sdt>
              <w:sdtPr>
                <w:id w:val="8"/>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67"/>
      </w:tblGrid>
      <w:tr>
        <w:trPr>
          <w:trHeight w:val="488" w:hRule="atLeast"/>
        </w:trPr>
        <w:tc>
          <w:tcPr>
            <w:tcW w:w="9067"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Knowledge, Skills &amp; Experience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6658"/>
        <w:gridCol w:w="2409"/>
      </w:tblGrid>
      <w:tr>
        <w:trPr>
          <w:trHeight w:val="846" w:hRule="atLeast"/>
        </w:trPr>
        <w:tc>
          <w:tcPr>
            <w:tcW w:w="6658" w:type="dxa"/>
            <w:tcBorders>
              <w:top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Religious Practice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Experience of leading worship and religious events in a community setting.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rStyle w:val="Strong"/>
                <w:rFonts w:ascii="Arial" w:hAnsi="Arial" w:eastAsia="Arial" w:cs="Arial"/>
                <w:color w:val="FF0000"/>
                <w:lang w:val="en-GB" w:eastAsia="en-GB" w:bidi="en-GB"/>
              </w:rPr>
              <w:t xml:space="preserve">Application Question: </w:t>
            </w:r>
            <w:r>
              <w:rPr>
                <w:rFonts w:ascii="Arial" w:hAnsi="Arial" w:eastAsia="Arial" w:cs="Arial"/>
                <w:lang w:val="en-GB" w:eastAsia="en-GB" w:bidi="en-GB"/>
              </w:rPr>
              <w:t xml:space="preserve">Please briefly describe your experience of leading worship and religious events in a community setting? </w:t>
            </w:r>
          </w:p>
        </w:tc>
        <w:tc>
          <w:tcPr>
            <w:tcW w:w="2409"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9"/>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r>
        <w:trPr>
          <w:trHeight w:val="846" w:hRule="atLeast"/>
        </w:trPr>
        <w:tc>
          <w:tcPr>
            <w:tcW w:w="6658"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Pastoral Care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Significant experience of providing pastoral care to people from different backgrounds and in different situations.</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rStyle w:val="Strong"/>
                <w:rFonts w:ascii="Arial" w:hAnsi="Arial" w:eastAsia="Arial" w:cs="Arial"/>
                <w:color w:val="FF0000"/>
                <w:lang w:val="en-GB" w:eastAsia="en-GB" w:bidi="en-GB"/>
              </w:rPr>
              <w:t xml:space="preserve">Application Question: </w:t>
            </w:r>
            <w:r>
              <w:rPr>
                <w:rFonts w:ascii="Arial" w:hAnsi="Arial" w:eastAsia="Arial" w:cs="Arial"/>
                <w:lang w:val="en-GB" w:eastAsia="en-GB" w:bidi="en-GB"/>
              </w:rPr>
              <w:t xml:space="preserve">Please briefly describe your experience of providing pastoral care to a range of people?</w:t>
            </w:r>
          </w:p>
        </w:tc>
        <w:tc>
          <w:tcPr>
            <w:tcW w:w="240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10"/>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r>
        <w:trPr>
          <w:trHeight w:val="832" w:hRule="atLeast"/>
        </w:trPr>
        <w:tc>
          <w:tcPr>
            <w:tcW w:w="6658"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Spiritual Care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Experience of providing care and support to people of all faiths and none, encouraging, role modelling, building self-esteem and opportunities to belong; accompanying   them on their journey to discover purpose in their lives.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Style w:val="Strong"/>
                <w:rFonts w:ascii="Arial" w:hAnsi="Arial" w:eastAsia="Arial" w:cs="Arial"/>
                <w:color w:val="FF0000"/>
                <w:lang w:val="en-GB" w:eastAsia="en-GB" w:bidi="en-GB"/>
              </w:rPr>
              <w:t xml:space="preserve">Application Question:</w:t>
            </w:r>
            <w:r>
              <w:rPr>
                <w:rFonts w:ascii="Arial" w:hAnsi="Arial" w:eastAsia="Arial" w:cs="Arial"/>
                <w:color w:val="FF0000"/>
                <w:lang w:val="en-GB" w:eastAsia="en-GB" w:bidi="en-GB"/>
              </w:rPr>
              <w:t xml:space="preserve"> </w:t>
            </w:r>
            <w:r>
              <w:rPr>
                <w:rFonts w:ascii="Arial" w:hAnsi="Arial" w:eastAsia="Arial" w:cs="Arial"/>
                <w:lang w:val="en-GB" w:eastAsia="en-GB" w:bidi="en-GB"/>
              </w:rPr>
              <w:t xml:space="preserve">Please briefly describe your experience of providing spiritual care to people. Describing what you have done to support them on their journey? </w:t>
            </w:r>
          </w:p>
        </w:tc>
        <w:tc>
          <w:tcPr>
            <w:tcW w:w="240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11"/>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r>
        <w:trPr>
          <w:trHeight w:val="832" w:hRule="atLeast"/>
        </w:trPr>
        <w:tc>
          <w:tcPr>
            <w:tcW w:w="6658"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Scottish Criminal Justice System Awareness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Awareness of the Scottish Criminal Justice System and the pastoral challenges within a prison setting. (Further reading and insight can be found through links detailed in job purpose.)</w:t>
            </w:r>
          </w:p>
        </w:tc>
        <w:tc>
          <w:tcPr>
            <w:tcW w:w="2409"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12"/>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67"/>
      </w:tblGrid>
      <w:tr>
        <w:trPr>
          <w:trHeight w:val="488" w:hRule="atLeast"/>
        </w:trPr>
        <w:tc>
          <w:tcPr>
            <w:tcW w:w="9067"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Behaviours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6658"/>
        <w:gridCol w:w="2409"/>
      </w:tblGrid>
      <w:tr>
        <w:trPr>
          <w:trHeight w:val="836" w:hRule="atLeast"/>
        </w:trPr>
        <w:tc>
          <w:tcPr>
            <w:tcW w:w="6658"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rPr>
                <w:rFonts w:ascii="Arial" w:hAnsi="Arial" w:eastAsia="Arial" w:cs="Arial"/>
                <w:b/>
                <w:bCs/>
                <w:lang w:val="en-US" w:eastAsia="en-US" w:bidi="en-US"/>
              </w:rPr>
            </w:pPr>
            <w:sdt>
              <w:sdtPr>
                <w:id w:val="13"/>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b/>
                    <w:bCs/>
                    <w:lang w:val="en-US" w:eastAsia="en-US" w:bidi="en-US"/>
                  </w:rPr>
                  <w:t xml:space="preserve">Listen &amp; Communicate</w:t>
                </w:r>
              </w:sdtContent>
            </w:sdt>
          </w:p>
        </w:tc>
        <w:tc>
          <w:tcPr>
            <w:tcW w:w="2409"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sdt>
              <w:sdtPr>
                <w:id w:val="14"/>
                <w:dropDownList>
                  <w:listItem w:displayText="Essential" w:value="Essential"/>
                </w:dropDownList>
              </w:sdtPr>
              <w:sdtContent>
                <w:r>
                  <w:rPr>
                    <w:rFonts w:ascii="Arial" w:hAnsi="Arial" w:eastAsia="Arial" w:cs="Arial"/>
                    <w:b/>
                    <w:bCs/>
                    <w:lang w:val="en-GB" w:eastAsia="en-GB" w:bidi="en-GB"/>
                  </w:rPr>
                  <w:t xml:space="preserve">Essential</w:t>
                </w:r>
              </w:sdtContent>
            </w:sdt>
          </w:p>
        </w:tc>
      </w:tr>
      <w:tr>
        <w:trPr>
          <w:trHeight w:val="834" w:hRule="atLeast"/>
        </w:trPr>
        <w:tc>
          <w:tcPr>
            <w:tcW w:w="6658"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r>
              <w:drawing>
                <wp:anchor distT="0" distB="0" distL="114300" distR="114300" simplePos="0" relativeHeight="251664383" behindDoc="1" locked="0" layoutInCell="1" hidden="0" allowOverlap="1">
                  <wp:simplePos x="0" y="0"/>
                  <wp:positionH relativeFrom="page">
                    <wp:posOffset>1026795</wp:posOffset>
                  </wp:positionH>
                  <wp:positionV relativeFrom="page">
                    <wp:posOffset>248285</wp:posOffset>
                  </wp:positionV>
                  <wp:extent cx="762000" cy="552450"/>
                  <wp:wrapNone/>
                  <wp:docPr id="6" name="Picture 8"/>
                  <a:graphic xmlns:a="http://schemas.openxmlformats.org/drawingml/2006/main">
                    <a:graphicData uri="http://schemas.openxmlformats.org/drawingml/2006/picture">
                      <pic:pic xmlns:pic="http://schemas.openxmlformats.org/drawingml/2006/picture">
                        <pic:nvPicPr>
                          <pic:cNvPr id="0" name="Image 6"/>
                          <pic:cNvPicPr/>
                        </pic:nvPicPr>
                        <pic:blipFill>
                          <a:blip r:embed="rId00008"/>
                          <a:stretch>
                            <a:fillRect/>
                          </a:stretch>
                        </pic:blipFill>
                        <pic:spPr>
                          <a:xfrm>
                            <a:off x="0" y="0"/>
                            <a:ext cx="762000" cy="552450"/>
                          </a:xfrm>
                          <a:prstGeom prst="rect">
                            <a:avLst/>
                          </a:prstGeom>
                        </pic:spPr>
                      </pic:pic>
                    </a:graphicData>
                  </a:graphic>
                </wp:anchor>
              </w:drawing>
            </w:r>
            <w:r>
              <w:drawing>
                <wp:anchor distT="0" distB="0" distL="114300" distR="114300" simplePos="0" relativeHeight="251665407" behindDoc="1" locked="0" layoutInCell="1" hidden="0" allowOverlap="1">
                  <wp:simplePos x="0" y="0"/>
                  <wp:positionH relativeFrom="page">
                    <wp:posOffset>955040</wp:posOffset>
                  </wp:positionH>
                  <wp:positionV relativeFrom="page">
                    <wp:posOffset>267335</wp:posOffset>
                  </wp:positionV>
                  <wp:extent cx="923925" cy="485775"/>
                  <wp:wrapNone/>
                  <wp:docPr id="7" name="Picture 5"/>
                  <a:graphic xmlns:a="http://schemas.openxmlformats.org/drawingml/2006/main">
                    <a:graphicData uri="http://schemas.openxmlformats.org/drawingml/2006/picture">
                      <pic:pic xmlns:pic="http://schemas.openxmlformats.org/drawingml/2006/picture">
                        <pic:nvPicPr>
                          <pic:cNvPr id="0" name="Image 7"/>
                          <pic:cNvPicPr/>
                        </pic:nvPicPr>
                        <pic:blipFill>
                          <a:blip r:embed="rId00009"/>
                          <a:stretch>
                            <a:fillRect/>
                          </a:stretch>
                        </pic:blipFill>
                        <pic:spPr>
                          <a:xfrm>
                            <a:off x="0" y="0"/>
                            <a:ext cx="923925" cy="485775"/>
                          </a:xfrm>
                          <a:prstGeom prst="rect">
                            <a:avLst/>
                          </a:prstGeom>
                        </pic:spPr>
                      </pic:pic>
                    </a:graphicData>
                  </a:graphic>
                </wp:anchor>
              </w:drawing>
            </w:r>
            <w:r>
              <w:drawing>
                <wp:anchor distT="0" distB="0" distL="114300" distR="114300" simplePos="0" relativeHeight="251659263" behindDoc="0" locked="0" layoutInCell="1" hidden="0" allowOverlap="1">
                  <wp:simplePos x="0" y="0"/>
                  <wp:positionH relativeFrom="page">
                    <wp:posOffset>1061085</wp:posOffset>
                  </wp:positionH>
                  <wp:positionV relativeFrom="page">
                    <wp:posOffset>267335</wp:posOffset>
                  </wp:positionV>
                  <wp:extent cx="666750" cy="534670"/>
                  <wp:wrapSquare wrapText="bothSides"/>
                  <wp:docPr id="8" name="Picture 6"/>
                  <a:graphic xmlns:a="http://schemas.openxmlformats.org/drawingml/2006/main">
                    <a:graphicData uri="http://schemas.openxmlformats.org/drawingml/2006/picture">
                      <pic:pic xmlns:pic="http://schemas.openxmlformats.org/drawingml/2006/picture">
                        <pic:nvPicPr>
                          <pic:cNvPr id="0" name="Image 8"/>
                          <pic:cNvPicPr/>
                        </pic:nvPicPr>
                        <pic:blipFill>
                          <a:blip r:embed="rId00010"/>
                          <a:stretch>
                            <a:fillRect/>
                          </a:stretch>
                        </pic:blipFill>
                        <pic:spPr>
                          <a:xfrm>
                            <a:off x="0" y="0"/>
                            <a:ext cx="666750" cy="534670"/>
                          </a:xfrm>
                          <a:prstGeom prst="rect">
                            <a:avLst/>
                          </a:prstGeom>
                        </pic:spPr>
                      </pic:pic>
                    </a:graphicData>
                  </a:graphic>
                </wp:anchor>
              </w:drawing>
            </w:r>
            <w:r>
              <w:drawing>
                <wp:anchor distT="0" distB="0" distL="114300" distR="114300" simplePos="0" relativeHeight="251661311" behindDoc="0" locked="0" layoutInCell="1" hidden="0" allowOverlap="1">
                  <wp:simplePos x="0" y="0"/>
                  <wp:positionH relativeFrom="page">
                    <wp:posOffset>914400</wp:posOffset>
                  </wp:positionH>
                  <wp:positionV relativeFrom="page">
                    <wp:posOffset>273685</wp:posOffset>
                  </wp:positionV>
                  <wp:extent cx="857250" cy="523875"/>
                  <wp:wrapSquare wrapText="bothSides"/>
                  <wp:docPr id="9" name="Picture 7"/>
                  <a:graphic xmlns:a="http://schemas.openxmlformats.org/drawingml/2006/main">
                    <a:graphicData uri="http://schemas.openxmlformats.org/drawingml/2006/picture">
                      <pic:pic xmlns:pic="http://schemas.openxmlformats.org/drawingml/2006/picture">
                        <pic:nvPicPr>
                          <pic:cNvPr id="0" name="Image 9"/>
                          <pic:cNvPicPr/>
                        </pic:nvPicPr>
                        <pic:blipFill>
                          <a:blip r:embed="rId00011"/>
                          <a:stretch>
                            <a:fillRect/>
                          </a:stretch>
                        </pic:blipFill>
                        <pic:spPr>
                          <a:xfrm>
                            <a:off x="0" y="0"/>
                            <a:ext cx="857250" cy="523875"/>
                          </a:xfrm>
                          <a:prstGeom prst="rect">
                            <a:avLst/>
                          </a:prstGeom>
                        </pic:spPr>
                      </pic:pic>
                    </a:graphicData>
                  </a:graphic>
                </wp:anchor>
              </w:drawing>
            </w:r>
            <w:r>
              <w:drawing>
                <wp:anchor distT="0" distB="0" distL="114300" distR="114300" simplePos="0" relativeHeight="251666431" behindDoc="1" locked="0" layoutInCell="1" hidden="0" allowOverlap="1">
                  <wp:simplePos x="0" y="0"/>
                  <wp:positionH relativeFrom="page">
                    <wp:posOffset>968375</wp:posOffset>
                  </wp:positionH>
                  <wp:positionV relativeFrom="page">
                    <wp:posOffset>172085</wp:posOffset>
                  </wp:positionV>
                  <wp:extent cx="812800" cy="629920"/>
                  <wp:wrapNone/>
                  <wp:docPr id="10" name="Picture 4"/>
                  <a:graphic xmlns:a="http://schemas.openxmlformats.org/drawingml/2006/main">
                    <a:graphicData uri="http://schemas.openxmlformats.org/drawingml/2006/picture">
                      <pic:pic xmlns:pic="http://schemas.openxmlformats.org/drawingml/2006/picture">
                        <pic:nvPicPr>
                          <pic:cNvPr id="0" name="Image 10"/>
                          <pic:cNvPicPr/>
                        </pic:nvPicPr>
                        <pic:blipFill>
                          <a:blip r:embed="rId00012"/>
                          <a:stretch>
                            <a:fillRect/>
                          </a:stretch>
                        </pic:blipFill>
                        <pic:spPr>
                          <a:xfrm>
                            <a:off x="0" y="0"/>
                            <a:ext cx="812800" cy="629920"/>
                          </a:xfrm>
                          <a:prstGeom prst="rect">
                            <a:avLst/>
                          </a:prstGeom>
                        </pic:spPr>
                      </pic:pic>
                    </a:graphicData>
                  </a:graphic>
                </wp:anchor>
              </w:drawing>
            </w:r>
            <w:sdt>
              <w:sdtPr>
                <w:id w:val="15"/>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b/>
                    <w:bCs/>
                    <w:lang w:val="en-US" w:eastAsia="en-US" w:bidi="en-US"/>
                  </w:rPr>
                  <w:t xml:space="preserve">Relationships &amp; Collaboration</w:t>
                </w:r>
              </w:sdtContent>
            </w:sdt>
          </w:p>
        </w:tc>
        <w:tc>
          <w:tcPr>
            <w:tcW w:w="240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sdt>
              <w:sdtPr>
                <w:id w:val="16"/>
                <w:dropDownList>
                  <w:listItem w:displayText="Essential" w:value="Essential"/>
                </w:dropDownList>
              </w:sdtPr>
              <w:sdtContent>
                <w:r>
                  <w:rPr>
                    <w:rFonts w:ascii="Arial" w:hAnsi="Arial" w:eastAsia="Arial" w:cs="Arial"/>
                    <w:b/>
                    <w:bCs/>
                    <w:lang w:val="en-GB" w:eastAsia="en-GB" w:bidi="en-GB"/>
                  </w:rPr>
                  <w:t xml:space="preserve">Essential</w:t>
                </w:r>
              </w:sdtContent>
            </w:sdt>
          </w:p>
        </w:tc>
      </w:tr>
      <w:tr>
        <w:trPr>
          <w:trHeight w:val="846" w:hRule="atLeast"/>
        </w:trPr>
        <w:tc>
          <w:tcPr>
            <w:tcW w:w="6658"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rPr>
                <w:rFonts w:ascii="Arial" w:hAnsi="Arial" w:eastAsia="Arial" w:cs="Arial"/>
                <w:b/>
                <w:bCs/>
                <w:lang w:val="en-GB" w:eastAsia="en-GB" w:bidi="en-GB"/>
              </w:rPr>
            </w:pPr>
            <w:sdt>
              <w:sdtPr>
                <w:id w:val="17"/>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b/>
                    <w:bCs/>
                    <w:lang w:val="en-US" w:eastAsia="en-US" w:bidi="en-US"/>
                  </w:rPr>
                  <w:t xml:space="preserve">Solve Problems &amp; Make Decisions</w:t>
                </w:r>
              </w:sdtContent>
            </w:sdt>
          </w:p>
        </w:tc>
        <w:tc>
          <w:tcPr>
            <w:tcW w:w="240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sdt>
              <w:sdtPr>
                <w:id w:val="18"/>
                <w:dropDownList>
                  <w:listItem w:displayText="Essential" w:value="Essential"/>
                </w:dropDownList>
              </w:sdtPr>
              <w:sdtContent>
                <w:r>
                  <w:rPr>
                    <w:rFonts w:ascii="Arial" w:hAnsi="Arial" w:eastAsia="Arial" w:cs="Arial"/>
                    <w:b/>
                    <w:bCs/>
                    <w:lang w:val="en-GB" w:eastAsia="en-GB" w:bidi="en-GB"/>
                  </w:rPr>
                  <w:t xml:space="preserve">Essential</w:t>
                </w:r>
              </w:sdtContent>
            </w:sdt>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Methods</w:t>
      </w:r>
    </w:p>
    <w:tbl>
      <w:tblPr>
        <w:tblW w:w="0" w:type="auto"/>
        <w:jc w:val="left"/>
        <w:tblInd w:w="0" w:type="dxa"/>
        <w:tblBorders>
          <w:top w:val="single" w:sz="8" w:space="0" w:color="auto"/>
          <w:left w:val="single" w:sz="8" w:space="0" w:color="auto"/>
          <w:bottom w:val="single" w:sz="8" w:space="0" w:color="auto"/>
          <w:right w:val="single" w:sz="8" w:space="0" w:color="auto"/>
          <w:insideH w:val="none"/>
          <w:insideV w:val="none"/>
        </w:tblBorders>
        <w:tblLayout w:type="fixed"/>
        <w:tblCellMar>
          <w:top w:w="0" w:type="dxa"/>
          <w:left w:w="108" w:type="dxa"/>
          <w:bottom w:w="0" w:type="dxa"/>
          <w:right w:w="108" w:type="dxa"/>
        </w:tblCellMar>
      </w:tblPr>
      <w:tblGrid>
        <w:gridCol w:w="9015"/>
      </w:tblGrid>
      <w:tr>
        <w:trPr>
          <w:trHeight w:val="300" w:hRule="atLeast"/>
        </w:trPr>
        <w:tc>
          <w:tcPr>
            <w:tcW w:w="9015" w:type="dxa"/>
            <w:tcBorders>
              <w:bottom w:val="single" w:sz="8" w:space="0" w:color="auto"/>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lang w:val="en-GB" w:eastAsia="en-GB" w:bidi="en-GB"/>
              </w:rPr>
            </w:pPr>
            <w:r>
              <w:rPr>
                <w:rFonts w:ascii="Arial" w:hAnsi="Arial" w:eastAsia="Arial" w:cs="Arial"/>
                <w:b/>
                <w:bCs/>
                <w:lang w:val="en-GB" w:eastAsia="en-GB" w:bidi="en-GB"/>
              </w:rPr>
              <w:t xml:space="preserve">Selection Methods</w:t>
            </w:r>
          </w:p>
        </w:tc>
      </w:tr>
    </w:tbl>
    <w:tbl>
      <w:tblPr>
        <w:tblW w:w="0" w:type="auto"/>
        <w:jc w:val="left"/>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0" w:type="dxa"/>
          <w:left w:w="108" w:type="dxa"/>
          <w:bottom w:w="0" w:type="dxa"/>
          <w:right w:w="108" w:type="dxa"/>
        </w:tblCellMar>
      </w:tblPr>
      <w:tblGrid>
        <w:gridCol w:w="526"/>
        <w:gridCol w:w="8489"/>
      </w:tblGrid>
      <w:tr>
        <w:trPr>
          <w:trHeight w:val="300" w:hRule="atLeast"/>
        </w:trPr>
        <w:tc>
          <w:tcPr>
            <w:tcW w:w="526" w:type="dxa"/>
            <w:tcBorders>
              <w:top w:val="single" w:sz="8" w:space="0" w:color="auto"/>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lang w:val="en-GB" w:eastAsia="en-GB" w:bidi="en-GB"/>
              </w:rPr>
            </w:pPr>
            <w:r>
              <w:rPr>
                <w:rFonts w:ascii="Arial" w:hAnsi="Arial" w:eastAsia="Arial" w:cs="Arial"/>
                <w:lang w:val="en-GB" w:eastAsia="en-GB" w:bidi="en-GB"/>
              </w:rPr>
              <w:t xml:space="preserve">1</w:t>
            </w:r>
          </w:p>
        </w:tc>
        <w:tc>
          <w:tcPr>
            <w:tcW w:w="8489" w:type="dxa"/>
            <w:tcBorders>
              <w:top w:val="nil"/>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Presentation</w:t>
            </w:r>
          </w:p>
        </w:tc>
      </w:tr>
      <w:tr>
        <w:trPr>
          <w:trHeight w:val="300" w:hRule="atLeast"/>
        </w:trPr>
        <w:tc>
          <w:tcPr>
            <w:tcW w:w="52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lang w:val="en-GB" w:eastAsia="en-GB" w:bidi="en-GB"/>
              </w:rPr>
            </w:pPr>
            <w:r>
              <w:rPr>
                <w:rFonts w:ascii="Arial" w:hAnsi="Arial" w:eastAsia="Arial" w:cs="Arial"/>
                <w:lang w:val="en-GB" w:eastAsia="en-GB" w:bidi="en-GB"/>
              </w:rPr>
              <w:t xml:space="preserve">2</w:t>
            </w:r>
          </w:p>
        </w:tc>
        <w:tc>
          <w:tcPr>
            <w:tcW w:w="848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Interview</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tbl>
      <w:tblPr>
        <w:tblW w:w="0" w:type="auto"/>
        <w:jc w:val="left"/>
        <w:tblInd w:w="0" w:type="dxa"/>
        <w:tblBorders>
          <w:top w:val="single" w:sz="4" w:space="0" w:color="FFFFFF"/>
          <w:left w:val="single" w:sz="4" w:space="0" w:color="FFFFFF"/>
          <w:bottom w:val="single" w:sz="4" w:space="0" w:color="FFFFFF"/>
          <w:right w:val="single" w:sz="4" w:space="0" w:color="FFFFFF"/>
          <w:insideH w:val="none"/>
          <w:insideV w:val="single" w:sz="4" w:space="0" w:color="FFFFFF"/>
        </w:tblBorders>
        <w:tblLayout w:type="fixed"/>
        <w:tblCellMar>
          <w:top w:w="0" w:type="dxa"/>
          <w:left w:w="108" w:type="dxa"/>
          <w:bottom w:w="0" w:type="dxa"/>
          <w:right w:w="108" w:type="dxa"/>
        </w:tblCellMar>
      </w:tblPr>
      <w:tblGrid>
        <w:gridCol w:w="1803"/>
        <w:gridCol w:w="1803"/>
        <w:gridCol w:w="1803"/>
        <w:gridCol w:w="1803"/>
        <w:gridCol w:w="1804"/>
      </w:tblGrid>
      <w:tr>
        <w:trPr>
          <w:trHeight w:val="1537" w:hRule="atLeast"/>
        </w:trPr>
        <w:tc>
          <w:tcPr>
            <w:tcW w:w="1803" w:type="dxa"/>
            <w:tcBorders>
              <w:bottom w:val="nil"/>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180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180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180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1804"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color w:val="auto"/>
          <w:sz w:val="22"/>
          <w:szCs w:val="22"/>
          <w:lang w:val="en-GB" w:eastAsia="en-GB" w:bidi="en-GB"/>
        </w:rPr>
      </w:pPr>
    </w:p>
    <w:sectPr>
      <w:headerReference w:type="default" r:id="rId00013"/>
      <w:footerReference w:type="default" r:id="rId00014"/>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4002EFF" w:usb1="C000247B" w:usb2="00000009" w:usb3="00000000" w:csb0="200001FF" w:csb1="00000000"/>
  </w:font>
  <w:font w:name="Calibri Light">
    <w:panose1 w:val="020F0302020204030204"/>
    <w:charset w:val="00"/>
    <w:family w:val="swiss"/>
    <w:pitch w:val="variable"/>
    <w:sig w:usb0="E4002EFF" w:usb1="C000247B" w:usb2="00000009" w:usb3="00000000" w:csb0="200001FF" w:csb1="0000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rPr>
        <w:lang w:val="en-GB" w:eastAsia="en-GB" w:bidi="en-GB"/>
      </w:rPr>
    </w:pPr>
    <w:r>
      <w:pict>
        <v:shape id="Text Box 14" coordsize="21600,21600" o:spt="202" path="m,l,21600r21600,l21600,xe" fillcolor="#FFFFFF" stroked="f" strokeweight="0" style="width:34.95pt;height:34.95pt;position:absolute;margin-left:0pt;margin-top:806.95pt;z-index:251660288;mso-wrap-distance-right:0;mso-wrap-distance-left:0;mso-position-horizontal-relative:page;mso-position-vertical-relative:page;">
          <v:fill opacity="0"/>
          <v:stroke joinstyle="miter"/>
          <v:path gradientshapeok="t" o:connecttype="rect"/>
          <v:textbox inset="20pt,0pt,0pt,15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color w:val="000000"/>
                    <w:sz w:val="24"/>
                    <w:szCs w:val="24"/>
                    <w:lang w:val="en-GB" w:eastAsia="en-GB" w:bidi="en-GB"/>
                  </w:rPr>
                </w:pPr>
                <w:r>
                  <w:rPr>
                    <w:color w:val="000000"/>
                    <w:sz w:val="24"/>
                    <w:szCs w:val="24"/>
                    <w:lang w:val="en-GB" w:eastAsia="en-GB" w:bidi="en-GB"/>
                  </w:rPr>
                  <w:t xml:space="preserve">OFFICIAL</w:t>
                </w:r>
              </w:p>
            </w:txbxContent>
          </v:textbox>
          <w10:wrap type="none"/>
        </v:shape>
      </w:pict>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Header"/>
      <w:rPr>
        <w:lang w:val="en-GB" w:eastAsia="en-GB" w:bidi="en-GB"/>
      </w:rPr>
    </w:pPr>
    <w:r>
      <w:pict>
        <v:shape id="Text Box 11" coordsize="21600,21600" o:spt="202" path="m,l,21600r21600,l21600,xe" fillcolor="#FFFFFF" stroked="f" strokeweight="0" style="width:34.95pt;height:34.95pt;position:absolute;margin-left:0pt;margin-top:0pt;z-index:251659264;mso-wrap-distance-right:0;mso-wrap-distance-left:0;mso-position-horizontal-relative:page;mso-position-vertical-relative:page;">
          <v:fill opacity="0"/>
          <v:stroke joinstyle="miter"/>
          <v:path gradientshapeok="t" o:connecttype="rect"/>
          <v:textbox inset="20pt,15pt,0pt,0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color w:val="000000"/>
                    <w:sz w:val="24"/>
                    <w:szCs w:val="24"/>
                    <w:lang w:val="en-GB" w:eastAsia="en-GB" w:bidi="en-GB"/>
                  </w:rPr>
                </w:pPr>
                <w:r>
                  <w:rPr>
                    <w:color w:val="000000"/>
                    <w:sz w:val="24"/>
                    <w:szCs w:val="24"/>
                    <w:lang w:val="en-GB" w:eastAsia="en-GB" w:bidi="en-GB"/>
                  </w:rPr>
                  <w:t xml:space="preserve">OFFICIAL</w:t>
                </w:r>
              </w:p>
            </w:txbxContent>
          </v:textbox>
          <w10:wrap type="none"/>
        </v:shape>
      </w:pict>
    </w: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n"/>
        <w:i w:val="off"/>
        <w:strike w:val="off"/>
        <w:color w:val="auto"/>
        <w:position w:val="0"/>
        <w:sz w:val="22"/>
        <w:u w:val="none"/>
        <w:shd w:val="clear" w:color="auto" w:fill="auto"/>
      </w:rPr>
    </w:lvl>
  </w:abstractNum>
  <w:abstractNum w:abstractNumId="1">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2"/>
        <w:u w:val="none"/>
        <w:shd w:val="clear" w:color="auto" w:fill="auto"/>
      </w:rPr>
    </w:lvl>
  </w:abstractNum>
  <w:num w:numId="1">
    <w:abstractNumId w:val="0"/>
  </w:num>
  <w:num w:numId="2">
    <w:abstractNumId w:val="1"/>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160" w:line="259" w:lineRule="auto"/>
      <w:ind w:left="0" w:right="0" w:firstLine="0"/>
      <w:jc w:val="left"/>
      <w:outlineLvl w:val="9"/>
    </w:pPr>
    <w:rPr>
      <w:rFonts w:ascii="Calibri" w:hAnsi="Calibri" w:eastAsia="Calibri" w:cs="Calibri"/>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Header">
    <w:name w:val="header"/>
    <w:basedOn w:val="Normal"/>
    <w:next w:val="Header"/>
    <w:qFormat/>
    <w:pPr>
      <w:tabs>
        <w:tab w:val="center" w:pos="4513"/>
        <w:tab w:val="right" w:pos="9026"/>
      </w:tabs>
      <w:spacing w:after="0" w:line="240" w:lineRule="auto"/>
    </w:pPr>
    <w:rPr>
      <w:lang w:val="en-GB" w:eastAsia="en-GB" w:bidi="en-GB"/>
    </w:rPr>
  </w:style>
  <w:style w:type="paragraph" w:styleId="Footer">
    <w:name w:val="footer"/>
    <w:basedOn w:val="Normal"/>
    <w:next w:val="Footer"/>
    <w:qFormat/>
    <w:pPr>
      <w:tabs>
        <w:tab w:val="center" w:pos="4513"/>
        <w:tab w:val="right" w:pos="9026"/>
      </w:tabs>
      <w:spacing w:after="0" w:line="240" w:lineRule="auto"/>
    </w:pPr>
    <w:rPr>
      <w:lang w:val="en-GB" w:eastAsia="en-GB" w:bidi="en-GB"/>
    </w:rPr>
  </w:style>
  <w:style w:type="paragraph" w:styleId="Heading1">
    <w:name w:val="heading 1"/>
    <w:basedOn w:val="Normal"/>
    <w:next w:val="Normal"/>
    <w:qFormat/>
    <w:pPr>
      <w:keepNext/>
      <w:keepLines/>
      <w:spacing w:before="240" w:after="0"/>
      <w:outlineLvl w:val="0"/>
    </w:pPr>
    <w:rPr>
      <w:rFonts w:ascii="Calibri Light" w:hAnsi="Calibri Light" w:eastAsia="Calibri Light" w:cs="Calibri Light"/>
      <w:color w:val="2F5496"/>
      <w:sz w:val="32"/>
      <w:szCs w:val="32"/>
      <w:lang w:val="en-GB" w:eastAsia="en-GB" w:bidi="en-GB"/>
    </w:rPr>
  </w:style>
  <w:style w:type="paragraph" w:styleId="Heading2">
    <w:name w:val="heading 2"/>
    <w:basedOn w:val="Normal"/>
    <w:next w:val="Normal"/>
    <w:qFormat/>
    <w:pPr>
      <w:keepNext/>
      <w:keepLines/>
      <w:spacing w:before="40" w:after="0" w:line="276" w:lineRule="auto"/>
      <w:outlineLvl w:val="1"/>
    </w:pPr>
    <w:rPr>
      <w:rFonts w:ascii="Calibri Light" w:hAnsi="Calibri Light" w:eastAsia="Calibri Light" w:cs="Calibri Light"/>
      <w:color w:val="2F5496"/>
      <w:sz w:val="26"/>
      <w:szCs w:val="26"/>
      <w:lang w:val="en-GB" w:eastAsia="en-GB" w:bidi="en-GB"/>
    </w:rPr>
  </w:style>
  <w:style w:type="character" w:styleId="Heading 2 Char" w:customStyle="1">
    <w:name w:val="Heading 2 Char"/>
    <w:qFormat/>
    <w:rPr>
      <w:rFonts w:ascii="Calibri Light" w:hAnsi="Calibri Light" w:eastAsia="Calibri Light" w:cs="Calibri Light"/>
      <w:color w:val="2F5496"/>
      <w:sz w:val="26"/>
      <w:szCs w:val="26"/>
      <w:rtl w:val="off"/>
    </w:rPr>
  </w:style>
  <w:style w:type="character" w:styleId="Heading 1 Char" w:customStyle="1">
    <w:name w:val="Heading 1 Char"/>
    <w:qFormat/>
    <w:rPr>
      <w:rFonts w:ascii="Calibri Light" w:hAnsi="Calibri Light" w:eastAsia="Calibri Light" w:cs="Calibri Light"/>
      <w:color w:val="2F5496"/>
      <w:sz w:val="32"/>
      <w:szCs w:val="32"/>
      <w:rtl w:val="off"/>
    </w:rPr>
  </w:style>
  <w:style w:type="character" w:styleId="PlaceholderText">
    <w:name w:val="Placeholder Text"/>
    <w:qFormat/>
    <w:rPr>
      <w:color w:val="808080"/>
      <w:rtl w:val="off"/>
    </w:rPr>
  </w:style>
  <w:style w:type="character" w:styleId="Style1" w:customStyle="1">
    <w:name w:val="Style1"/>
    <w:qFormat/>
    <w:rPr>
      <w:rFonts w:ascii="Arial" w:hAnsi="Arial" w:eastAsia="Arial" w:cs="Arial"/>
      <w:rtl w:val="off"/>
    </w:rPr>
  </w:style>
  <w:style w:type="character" w:styleId="Style4" w:customStyle="1">
    <w:name w:val="Style4"/>
    <w:qFormat/>
    <w:rPr>
      <w:rFonts w:ascii="Arial" w:hAnsi="Arial" w:eastAsia="Arial" w:cs="Arial"/>
      <w:rtl w:val="off"/>
    </w:rPr>
  </w:style>
  <w:style w:type="paragraph" w:styleId="NormalWeb">
    <w:name w:val="Normal (Web)"/>
    <w:basedOn w:val="Normal"/>
    <w:next w:val="NormalWeb"/>
    <w:qFormat/>
    <w:pPr>
      <w:spacing w:after="0" w:line="240" w:lineRule="auto"/>
    </w:pPr>
    <w:rPr>
      <w:rFonts w:ascii="Times New Roman" w:hAnsi="Times New Roman" w:eastAsia="Times New Roman" w:cs="Times New Roman"/>
      <w:sz w:val="24"/>
      <w:szCs w:val="24"/>
      <w:lang w:val="en-GB" w:eastAsia="en-GB" w:bidi="en-GB"/>
    </w:rPr>
  </w:style>
  <w:style w:type="character" w:styleId="Header Char" w:customStyle="1">
    <w:name w:val="Header Char"/>
    <w:qFormat/>
    <w:rPr>
      <w:rtl w:val="off"/>
    </w:rPr>
  </w:style>
  <w:style w:type="character" w:styleId="Footer Char" w:customStyle="1">
    <w:name w:val="Footer Char"/>
    <w:qFormat/>
    <w:rPr>
      <w:rtl w:val="off"/>
    </w:rPr>
  </w:style>
  <w:style w:type="paragraph" w:styleId="ListParagraph">
    <w:name w:val="List Paragraph"/>
    <w:basedOn w:val="Normal"/>
    <w:next w:val="ListParagraph"/>
    <w:qFormat/>
    <w:pPr>
      <w:spacing w:after="200" w:line="276" w:lineRule="auto"/>
      <w:ind w:left="720"/>
    </w:pPr>
    <w:rPr>
      <w:lang w:val="en-GB" w:eastAsia="en-GB" w:bidi="en-GB"/>
    </w:rPr>
  </w:style>
  <w:style w:type="character" w:styleId="Hyperlink">
    <w:name w:val="Hyperlink"/>
    <w:qFormat/>
    <w:rPr>
      <w:color w:val="0000FF"/>
      <w:u w:val="single"/>
      <w:rtl w:val="off"/>
    </w:rPr>
  </w:style>
  <w:style w:type="character" w:styleId="Strong">
    <w:name w:val="Strong"/>
    <w:qFormat/>
    <w:rPr>
      <w:b/>
      <w:bCs/>
      <w:rtl w:val="off"/>
    </w:rPr>
  </w:style>
  <w:style w:type="character" w:styleId="FollowedHyperlink">
    <w:name w:val="FollowedHyperlink"/>
    <w:qFormat/>
    <w:rPr>
      <w:color w:val="954F72"/>
      <w:u w:val="single"/>
      <w:rtl w:val="off"/>
    </w:rPr>
  </w:style>
  <w:style w:type="character" w:styleId="s1" w:customStyle="1">
    <w:name w:val="s1"/>
    <w:qFormat/>
    <w:rPr>
      <w:rtl w:val="off"/>
    </w:rPr>
  </w:style>
  <w:style w:type="paragraph" w:styleId="NoSpacing">
    <w:name w:val="No Spacing"/>
    <w:basedOn w:val="[Normal]"/>
    <w:next w:val="NoSpacing"/>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Calibri" w:hAnsi="Calibri" w:eastAsia="Calibri" w:cs="Calibri"/>
      <w:sz w:val="22"/>
      <w:szCs w:val="22"/>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13" Type="http://schemas.openxmlformats.org/officeDocument/2006/relationships/header" Target="header0001.xml"/>
	<Relationship Id="rId00014" Type="http://schemas.openxmlformats.org/officeDocument/2006/relationships/footer" Target="footer0001.xml"/>
	<Relationship Id="rId00006" Type="http://schemas.openxmlformats.org/officeDocument/2006/relationships/image" Target="media/image0001.jpg"/>
	<Relationship Id="rId00007" Type="http://schemas.openxmlformats.org/officeDocument/2006/relationships/image" Target="media/image0002.emf"/>
	<Relationship Id="rId00008" Type="http://schemas.openxmlformats.org/officeDocument/2006/relationships/image" Target="media/image0003.jpg"/>
	<Relationship Id="rId00009" Type="http://schemas.openxmlformats.org/officeDocument/2006/relationships/image" Target="media/image0004.jpg"/>
	<Relationship Id="rId00010" Type="http://schemas.openxmlformats.org/officeDocument/2006/relationships/image" Target="media/image0005.jpg"/>
	<Relationship Id="rId00011" Type="http://schemas.openxmlformats.org/officeDocument/2006/relationships/image" Target="media/image0006.png"/>
	<Relationship Id="rId00012" Type="http://schemas.openxmlformats.org/officeDocument/2006/relationships/image" Target="media/image0007.emf"/>
	<Relationship Id="rId00015" Type="http://schemas.openxmlformats.org/officeDocument/2006/relationships/numbering" Target="numbering.xml"/>
	<Relationship Id="rId00016" Type="http://schemas.openxmlformats.org/officeDocument/2006/relationships/fontTable" Target="fontTable.xml"/>
	<Relationship Id="rId0001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Word for the web</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Hayley Evans</dc:creator>
  <dcterms:created xsi:type="dcterms:W3CDTF">2026-01-14T12:21:00Z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#000000,12,Calibri</vt:lpwstr>
  </property>
  <property fmtid="{D5CDD505-2E9C-101B-9397-08002B2CF9AE}" pid="3" name="MSIP_Label_345a5628-45e9-4ab3-9be1-66b8fee5ba00_ContentBits">
    <vt:lpwstr>3</vt:lpwstr>
  </property>
  <property fmtid="{D5CDD505-2E9C-101B-9397-08002B2CF9AE}" pid="4" name="Priority">
    <vt:lpwstr>Short (0-6 mths)</vt:lpwstr>
  </property>
  <property fmtid="{D5CDD505-2E9C-101B-9397-08002B2CF9AE}" pid="5" name="ClassificationContentMarkingHeaderText">
    <vt:lpwstr>OFFICIAL</vt:lpwstr>
  </property>
  <property fmtid="{D5CDD505-2E9C-101B-9397-08002B2CF9AE}" pid="6" name="MSIP_Label_345a5628-45e9-4ab3-9be1-66b8fee5ba00_SiteId">
    <vt:lpwstr>72e022f2-1d7b-48a2-872d-a0ff35f57a8d</vt:lpwstr>
  </property>
  <property fmtid="{D5CDD505-2E9C-101B-9397-08002B2CF9AE}" pid="7" name="ContentTypeId">
    <vt:lpwstr>0x0101007E5407EEA406A944BC71E5729663E42E</vt:lpwstr>
  </property>
  <property fmtid="{D5CDD505-2E9C-101B-9397-08002B2CF9AE}" pid="8" name="ClassificationContentMarkingFooterShapeIds">
    <vt:lpwstr>c,d,e</vt:lpwstr>
  </property>
  <property fmtid="{D5CDD505-2E9C-101B-9397-08002B2CF9AE}" pid="9" name="ClassificationContentMarkingFooterText">
    <vt:lpwstr>OFFICIAL</vt:lpwstr>
  </property>
  <property fmtid="{D5CDD505-2E9C-101B-9397-08002B2CF9AE}" pid="10" name="MSIP_Label_345a5628-45e9-4ab3-9be1-66b8fee5ba00_Enabled">
    <vt:lpwstr>true</vt:lpwstr>
  </property>
  <property fmtid="{D5CDD505-2E9C-101B-9397-08002B2CF9AE}" pid="11" name="MSIP_Label_345a5628-45e9-4ab3-9be1-66b8fee5ba00_ActionId">
    <vt:lpwstr>d33e251a-6e54-4211-91b8-332b3e72b0e2</vt:lpwstr>
  </property>
  <property fmtid="{D5CDD505-2E9C-101B-9397-08002B2CF9AE}" pid="12" name="ClassificationContentMarkingHeaderShapeIds">
    <vt:lpwstr>9,a,b</vt:lpwstr>
  </property>
  <property fmtid="{D5CDD505-2E9C-101B-9397-08002B2CF9AE}" pid="13" name="ClassificationContentMarkingFooterFontProps">
    <vt:lpwstr>#000000,12,Calibri</vt:lpwstr>
  </property>
  <property fmtid="{D5CDD505-2E9C-101B-9397-08002B2CF9AE}" pid="14" name="MSIP_Label_345a5628-45e9-4ab3-9be1-66b8fee5ba00_Name">
    <vt:lpwstr>Official</vt:lpwstr>
  </property>
  <property fmtid="{D5CDD505-2E9C-101B-9397-08002B2CF9AE}" pid="15" name="MSIP_Label_345a5628-45e9-4ab3-9be1-66b8fee5ba00_SetDate">
    <vt:lpwstr>2023-04-25T14:49:22Z</vt:lpwstr>
  </property>
  <property fmtid="{D5CDD505-2E9C-101B-9397-08002B2CF9AE}" pid="16" name="MSIP_Label_345a5628-45e9-4ab3-9be1-66b8fee5ba00_Method">
    <vt:lpwstr>Standard</vt:lpwstr>
  </property>
</Properties>
</file>