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lang w:val="en-GB" w:eastAsia="en-GB" w:bidi="en-GB"/>
        </w:rPr>
      </w:pPr>
      <w:r>
        <mc:AlternateContent>
          <mc:Choice Requires="wps">
            <w:drawing>
              <wp:anchor distT="0" distB="0" distL="114300" distR="114300" simplePos="0" relativeHeight="251660287" behindDoc="0" locked="0" layoutInCell="1" hidden="0" allowOverlap="1">
                <wp:simplePos x="0" y="0"/>
                <wp:positionH relativeFrom="column">
                  <wp:posOffset>16511</wp:posOffset>
                </wp:positionH>
                <wp:positionV relativeFrom="paragraph">
                  <wp:posOffset>1400175</wp:posOffset>
                </wp:positionV>
                <wp:extent cx="5714366" cy="123825"/>
                <wp:wrapNone/>
                <wp:docPr id="4" name="Rectangle 2"/>
                <a:graphic xmlns:a="http://schemas.openxmlformats.org/drawingml/2006/main">
                  <a:graphicData uri="http://schemas.microsoft.com/office/word/2010/wordprocessingShape">
                    <wps:wsp>
                      <wps:cNvSpPr/>
                      <wps:spPr>
                        <a:xfrm>
                          <a:off x="0" y="0"/>
                          <a:ext cx="5714366" cy="123825"/>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r>
        <w:pict>
          <v:shape id="Text Box 3" coordsize="21600,21600" o:spt="202" path="m,l,21600r21600,l21600,xe" fillcolor="#FFFFFF" stroked="f" strokeweight="0" style="width:207.75pt;height:63.75pt;position:absolute;margin-left:0pt;margin-top:3.6pt;z-index:251659263;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32"/>
                      <w:szCs w:val="32"/>
                      <w:lang w:val="en-GB" w:eastAsia="en-GB" w:bidi="en-GB"/>
                    </w:rPr>
                  </w:pPr>
                  <w:r>
                    <w:rPr>
                      <w:rFonts w:ascii="Arial" w:hAnsi="Arial" w:eastAsia="Arial" w:cs="Arial"/>
                      <w:color w:val="004295"/>
                      <w:sz w:val="32"/>
                      <w:szCs w:val="32"/>
                      <w:lang w:val="en-GB" w:eastAsia="en-GB" w:bidi="en-GB"/>
                    </w:rPr>
                    <w:t xml:space="preserve">UNLOCKING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32"/>
                      <w:szCs w:val="32"/>
                      <w:lang w:val="en-GB" w:eastAsia="en-GB" w:bidi="en-GB"/>
                    </w:rPr>
                  </w:pPr>
                  <w:r>
                    <w:rPr>
                      <w:rFonts w:ascii="Arial" w:hAnsi="Arial" w:eastAsia="Arial" w:cs="Arial"/>
                      <w:color w:val="004295"/>
                      <w:sz w:val="32"/>
                      <w:szCs w:val="32"/>
                      <w:lang w:val="en-GB" w:eastAsia="en-GB" w:bidi="en-GB"/>
                    </w:rPr>
                    <w:t xml:space="preserve">TRANSFORMING LIVES</w:t>
                  </w:r>
                </w:p>
              </w:txbxContent>
            </v:textbox>
            <w10:wrap type="square"/>
          </v:shape>
        </w:pict>
      </w:r>
      <w:r>
        <w:rPr>
          <w:lang w:val="en-GB" w:eastAsia="en-GB" w:bidi="en-GB"/>
        </w:rPr>
        <w:t xml:space="preserve">	</w:t>
      </w:r>
      <w:r>
        <w:rPr>
          <w:lang w:val="en-GB" w:eastAsia="en-GB" w:bidi="en-GB"/>
        </w:rPr>
        <w:drawing>
          <wp:inline distT="0" distB="0" distL="0" distR="0">
            <wp:extent cx="1400810" cy="1216660"/>
            <wp:docPr id="3" name="Picture 1"/>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6"/>
                    <a:stretch>
                      <a:fillRect/>
                    </a:stretch>
                  </pic:blipFill>
                  <pic:spPr>
                    <a:xfrm>
                      <a:off x="0" y="0"/>
                      <a:ext cx="1400810" cy="121666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4295"/>
          <w:sz w:val="32"/>
          <w:szCs w:val="32"/>
          <w:lang w:val="en-GB" w:eastAsia="en-GB" w:bidi="en-GB"/>
        </w:rPr>
      </w:pPr>
      <w:r>
        <w:rPr>
          <w:rFonts w:ascii="Arial" w:hAnsi="Arial" w:eastAsia="Arial" w:cs="Arial"/>
          <w:b/>
          <w:bCs/>
          <w:color w:val="004295"/>
          <w:sz w:val="32"/>
          <w:szCs w:val="32"/>
          <w:lang w:val="en-GB" w:eastAsia="en-GB" w:bidi="en-GB"/>
        </w:rPr>
        <w:t xml:space="preserve">JOB DESCRIPTION &amp; PERSON SPECIFICATION</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33"/>
        <w:gridCol w:w="4883"/>
      </w:tblGrid>
      <w:tr>
        <w:tc>
          <w:tcPr>
            <w:tcW w:w="413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title</w:t>
            </w:r>
          </w:p>
        </w:tc>
        <w:tc>
          <w:tcPr>
            <w:tcW w:w="488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Report to</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Maintenance Engineer - Electrical</w:t>
            </w:r>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Technical Manager</w:t>
            </w:r>
          </w:p>
        </w:tc>
      </w:tr>
      <w:tr>
        <w:tc>
          <w:tcPr>
            <w:tcW w:w="413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Location</w:t>
            </w:r>
          </w:p>
        </w:tc>
        <w:tc>
          <w:tcPr>
            <w:tcW w:w="488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Department</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1"/>
                <w:showingPlcHdr/>
                <w:dropDownList>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dropDownList>
              </w:sdtPr>
              <w:sdtContent>
                <w:r>
                  <w:rPr>
                    <w:rStyle w:val="PlaceholderText"/>
                    <w:rFonts w:ascii="Arial" w:hAnsi="Arial" w:eastAsia="Arial" w:cs="Arial"/>
                    <w:lang w:val="en-GB" w:eastAsia="en-GB" w:bidi="en-GB"/>
                  </w:rPr>
                  <w:t xml:space="preserve">     </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2"/>
                <w:dropDownList>
                  <w:listItem w:displayText="Catering" w:value="Catering"/>
                  <w:listItem w:displayText="Chaplaincy" w:value="Chaplaincy"/>
                  <w:listItem w:displayText="Corporate Services" w:value="Corporate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ISS" w:value="IS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Content>
                <w:r>
                  <w:rPr>
                    <w:rFonts w:ascii="Arial" w:hAnsi="Arial" w:eastAsia="Arial" w:cs="Arial"/>
                    <w:lang w:val="en-GB" w:eastAsia="en-GB" w:bidi="en-GB"/>
                  </w:rPr>
                  <w:t xml:space="preserve">Estates</w:t>
                </w:r>
              </w:sdtContent>
            </w:sdt>
          </w:p>
        </w:tc>
      </w:tr>
      <w:tr>
        <w:tc>
          <w:tcPr>
            <w:tcW w:w="413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Hours of work</w:t>
            </w:r>
          </w:p>
        </w:tc>
        <w:tc>
          <w:tcPr>
            <w:tcW w:w="488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Number of hours</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3"/>
                <w:dropDownList>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r>
                  <w:rPr>
                    <w:rFonts w:ascii="Arial" w:hAnsi="Arial" w:eastAsia="Arial" w:cs="Arial"/>
                    <w:lang w:val="en-GB" w:eastAsia="en-GB" w:bidi="en-GB"/>
                  </w:rPr>
                  <w:t xml:space="preserve">Normal Office Hours</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Full time 35</w:t>
            </w:r>
          </w:p>
        </w:tc>
      </w:tr>
      <w:tr>
        <w:tc>
          <w:tcPr>
            <w:tcW w:w="413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role status</w:t>
            </w:r>
          </w:p>
        </w:tc>
        <w:tc>
          <w:tcPr>
            <w:tcW w:w="488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Is C&amp;R/PPT a requirement? </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4"/>
                <w:dropDownList>
                  <w:listItem w:displayText="Operational" w:value="Operational"/>
                  <w:listItem w:displayText="Non-Operational" w:value="Non-Operational"/>
                </w:dropDownList>
              </w:sdtPr>
              <w:sdtContent>
                <w:r>
                  <w:rPr>
                    <w:rStyle w:val="Style4"/>
                    <w:lang w:val="en-GB" w:eastAsia="en-GB" w:bidi="en-GB"/>
                  </w:rPr>
                  <w:t xml:space="preserve">Non-Operational</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5"/>
                <w:dropDownList>
                  <w:listItem w:displayText="C&amp;R" w:value="C&amp;R"/>
                  <w:listItem w:displayText="PPT" w:value="PPT"/>
                  <w:listItem w:displayText="None" w:value="None"/>
                </w:dropDownList>
              </w:sdtPr>
              <w:sdtContent>
                <w:r>
                  <w:rPr>
                    <w:rFonts w:ascii="Arial" w:hAnsi="Arial" w:eastAsia="Arial" w:cs="Arial"/>
                    <w:lang w:val="en-GB" w:eastAsia="en-GB" w:bidi="en-GB"/>
                  </w:rPr>
                  <w:t xml:space="preserve">PPT</w:t>
                </w:r>
              </w:sdtContent>
            </w:sdt>
          </w:p>
        </w:tc>
      </w:tr>
      <w:tr>
        <w:tc>
          <w:tcPr>
            <w:tcW w:w="413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Pay band </w:t>
            </w:r>
          </w:p>
        </w:tc>
        <w:tc>
          <w:tcPr>
            <w:tcW w:w="488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Does this role attract any additional allowances (e.g. on-call allowance, RRA)?</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sdt>
              <w:sdtPr>
                <w:id w:val="6"/>
                <w:dropDownList>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r>
                  <w:rPr>
                    <w:rFonts w:ascii="Arial" w:hAnsi="Arial" w:eastAsia="Arial" w:cs="Arial"/>
                    <w:lang w:val="en-GB" w:eastAsia="en-GB" w:bidi="en-GB"/>
                  </w:rPr>
                  <w:t xml:space="preserve">C </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On-call &amp; RRA</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Job Details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004295"/>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Job Description</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249"/>
      </w:tblGrid>
      <w:tr>
        <w:tc>
          <w:tcPr>
            <w:tcW w:w="9249"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Purpose</w:t>
            </w:r>
          </w:p>
        </w:tc>
      </w:tr>
      <w:tr>
        <w:tc>
          <w:tcPr>
            <w:tcW w:w="9249" w:type="dxa"/>
            <w:shd w:val="clear" w:color="auto" w:fill="auto"/>
            <w:vAlign w:val="top"/>
          </w:tcPr>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The post holder will support the SPS Maintenance Team in all aspects of Estates work. Delivering preventative and reactive maintenance activities on electrical distribution systems, plant, equipment, and associated assets. </w:t>
            </w: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There will be a requirement for the post holder to periodically work on call hours (allowance provided). It is expected that the post holder will be able to attend their home establishment within 1 hour. For this reason, a full driving licence that enables the person to drive in the UK is preferred. SPS is willing to consider proposals put forward by applicants to carry out the duties by any other means. </w:t>
            </w:r>
          </w:p>
        </w:tc>
      </w:tr>
      <w:tr>
        <w:tc>
          <w:tcPr>
            <w:tcW w:w="9249" w:type="dxa"/>
            <w:tcBorders>
              <w:bottom w:val="single" w:sz="4" w:space="0" w:color="auto"/>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Key Responsibilities of the Role</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4"/>
        <w:gridCol w:w="8715"/>
      </w:tblGrid>
      <w:tr>
        <w:tc>
          <w:tcPr>
            <w:tcW w:w="534"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1</w:t>
            </w:r>
          </w:p>
        </w:tc>
        <w:tc>
          <w:tcPr>
            <w:tcW w:w="8715"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Carry out reactive / planned maintenance and complete minor works as defined and specified on electrical distribution systems, plant, equipment, and associated assets.</w:t>
            </w:r>
          </w:p>
        </w:tc>
      </w:tr>
      <w:tr>
        <w:tc>
          <w:tcPr>
            <w:tcW w:w="5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2</w:t>
            </w:r>
          </w:p>
        </w:tc>
        <w:tc>
          <w:tcPr>
            <w:tcW w:w="871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Maintain a safe and healthy working environment in accordance with local regulations and relevant statutory legislation. </w:t>
            </w:r>
          </w:p>
        </w:tc>
      </w:tr>
      <w:tr>
        <w:tc>
          <w:tcPr>
            <w:tcW w:w="5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3</w:t>
            </w:r>
          </w:p>
        </w:tc>
        <w:tc>
          <w:tcPr>
            <w:tcW w:w="871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Monitor and adjust systems to ensure optimum performance of the plant and equipment installed onsite. Produce related reports and recommendations as required.</w:t>
            </w:r>
          </w:p>
        </w:tc>
      </w:tr>
      <w:tr>
        <w:tc>
          <w:tcPr>
            <w:tcW w:w="5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4</w:t>
            </w:r>
          </w:p>
        </w:tc>
        <w:tc>
          <w:tcPr>
            <w:tcW w:w="871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Become familiar with the operation and maintenance of the various SPS systems. Providing support and advice on electrical and electronic issues to the Technical Manager. Assisting other members of the team with their activities as required.</w:t>
            </w:r>
          </w:p>
        </w:tc>
      </w:tr>
      <w:tr>
        <w:tc>
          <w:tcPr>
            <w:tcW w:w="5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5</w:t>
            </w:r>
          </w:p>
        </w:tc>
        <w:tc>
          <w:tcPr>
            <w:tcW w:w="871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Complete and sign work orders as issued by the SPS Computerised Maintenance Management System (CMMS). Provide timely pre-emptive condition reports to the Technical Manager as required.</w:t>
            </w:r>
          </w:p>
        </w:tc>
      </w:tr>
      <w:tr>
        <w:tc>
          <w:tcPr>
            <w:tcW w:w="5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6</w:t>
            </w:r>
          </w:p>
        </w:tc>
        <w:tc>
          <w:tcPr>
            <w:tcW w:w="871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Assess and order parts and equipment necessary for individual tasks, in conjunction with the administrator.</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004295"/>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004295"/>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c>
          <w:tcPr>
            <w:tcW w:w="4361" w:type="dxa"/>
            <w:tcBorders>
              <w:bottom w:val="single" w:sz="4" w:space="0" w:color="92CDDC"/>
            </w:tcBorders>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r>
              <w:rPr>
                <w:rFonts w:ascii="Arial" w:hAnsi="Arial" w:eastAsia="Arial" w:cs="Arial"/>
                <w:b/>
                <w:bCs/>
                <w:lang w:val="en-GB" w:eastAsia="en-GB" w:bidi="en-GB"/>
              </w:rPr>
              <w:t xml:space="preserve">Criteria</w:t>
            </w:r>
          </w:p>
        </w:tc>
        <w:tc>
          <w:tcPr>
            <w:tcW w:w="2410" w:type="dxa"/>
            <w:tcBorders>
              <w:bottom w:val="single" w:sz="4" w:space="0" w:color="92CDDC"/>
            </w:tcBorders>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r>
              <w:rPr>
                <w:rFonts w:ascii="Arial" w:hAnsi="Arial" w:eastAsia="Arial" w:cs="Arial"/>
                <w:b/>
                <w:bCs/>
                <w:lang w:val="en-GB" w:eastAsia="en-GB" w:bidi="en-GB"/>
              </w:rPr>
              <w:t xml:space="preserve">Essential or Desirable</w:t>
            </w:r>
          </w:p>
        </w:tc>
        <w:tc>
          <w:tcPr>
            <w:tcW w:w="2268" w:type="dxa"/>
            <w:tcBorders>
              <w:bottom w:val="single" w:sz="4" w:space="0" w:color="92CDDC"/>
            </w:tcBorders>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r>
              <w:rPr>
                <w:rFonts w:ascii="Arial" w:hAnsi="Arial" w:eastAsia="Arial" w:cs="Arial"/>
                <w:b/>
                <w:bCs/>
                <w:lang w:val="en-GB" w:eastAsia="en-GB" w:bidi="en-GB"/>
              </w:rPr>
              <w:t xml:space="preserve">Stage of Selection Process Assessed</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33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B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Applicant should have served a recognised apprenticeship in an electrical discipline to SVQ level 3 or equivalent.</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color w:val="000000"/>
                <w:lang w:val="en-GB" w:eastAsia="en-GB" w:bidi="en-GB"/>
              </w:rPr>
              <w:t xml:space="preserve">If successful, this will need to be evidenced through formal certification paperwork.</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7"/>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8"/>
                <w:dropDownList>
                  <w:listItem w:displayText="Application" w:value="Application"/>
                </w:dropDownList>
              </w:sdtPr>
              <w:sdtContent>
                <w:r>
                  <w:rPr>
                    <w:rFonts w:ascii="Arial" w:hAnsi="Arial" w:eastAsia="Arial" w:cs="Arial"/>
                    <w:lang w:val="en-GB" w:eastAsia="en-GB" w:bidi="en-GB"/>
                  </w:rPr>
                  <w:t xml:space="preserve">Application</w:t>
                </w:r>
              </w:sdtContent>
            </w:sdt>
          </w:p>
        </w:tc>
      </w:tr>
      <w:tr>
        <w:trPr>
          <w:trHeight w:val="836" w:hRule="atLeast"/>
        </w:trPr>
        <w:tc>
          <w:tcPr>
            <w:tcW w:w="4361" w:type="dxa"/>
            <w:tcBorders>
              <w:bottom w:val="single" w:sz="4" w:space="0" w:color="92CDDC"/>
            </w:tcBorders>
            <w:shd w:val="clear" w:color="auto" w:fill="DB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Obtained a qualification in electrical installations, for example City and Guilds 2382 or BS7671 18th Edition. 17</w:t>
            </w:r>
            <w:r>
              <w:rPr>
                <w:rFonts w:ascii="Arial" w:hAnsi="Arial" w:eastAsia="Arial" w:cs="Arial"/>
                <w:vertAlign w:val="superscript"/>
                <w:lang w:val="en-GB" w:eastAsia="en-GB" w:bidi="en-GB"/>
              </w:rPr>
              <w:t xml:space="preserve">th</w:t>
            </w:r>
            <w:r>
              <w:rPr>
                <w:rFonts w:ascii="Arial" w:hAnsi="Arial" w:eastAsia="Arial" w:cs="Arial"/>
                <w:lang w:val="en-GB" w:eastAsia="en-GB" w:bidi="en-GB"/>
              </w:rPr>
              <w:t xml:space="preserve"> Edition will be accepted where the candidate is willing to undertake the 18</w:t>
            </w:r>
            <w:r>
              <w:rPr>
                <w:rFonts w:ascii="Arial" w:hAnsi="Arial" w:eastAsia="Arial" w:cs="Arial"/>
                <w:vertAlign w:val="superscript"/>
                <w:lang w:val="en-GB" w:eastAsia="en-GB" w:bidi="en-GB"/>
              </w:rPr>
              <w:t xml:space="preserve">th</w:t>
            </w:r>
            <w:r>
              <w:rPr>
                <w:rFonts w:ascii="Arial" w:hAnsi="Arial" w:eastAsia="Arial" w:cs="Arial"/>
                <w:lang w:val="en-GB" w:eastAsia="en-GB" w:bidi="en-GB"/>
              </w:rPr>
              <w:t xml:space="preserve"> Edition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b/>
                <w:bCs/>
                <w:i/>
                <w:iCs/>
                <w:lang w:val="en-GB" w:eastAsia="en-GB" w:bidi="en-GB"/>
              </w:rPr>
            </w:pP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9"/>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10"/>
                <w:dropDownList>
                  <w:listItem w:displayText="Application" w:value="Application"/>
                </w:dropDownList>
              </w:sdtPr>
              <w:sdtContent>
                <w:r>
                  <w:rPr>
                    <w:rFonts w:ascii="Arial" w:hAnsi="Arial" w:eastAsia="Arial" w:cs="Arial"/>
                    <w:lang w:val="en-GB" w:eastAsia="en-GB" w:bidi="en-GB"/>
                  </w:rPr>
                  <w:t xml:space="preserve">Application</w:t>
                </w:r>
              </w:sdtContent>
            </w:sdt>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Knowledge, Skills &amp;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46" w:hRule="atLeast"/>
        </w:trPr>
        <w:tc>
          <w:tcPr>
            <w:tcW w:w="4361" w:type="dxa"/>
            <w:tcBorders>
              <w:top w:val="single" w:sz="4" w:space="0" w:color="92CDDC"/>
            </w:tcBorders>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r>
              <w:rPr>
                <w:rFonts w:ascii="Arial" w:hAnsi="Arial" w:eastAsia="Arial" w:cs="Arial"/>
                <w:lang w:val="en-GB" w:eastAsia="en-GB" w:bidi="en-GB"/>
              </w:rPr>
              <w:t xml:space="preserve">Have experience in the installation, repair, maintenance, test and inspection of electrical systems and installations in an industrial/commercial environment. An understanding of electronic systems maintenance and repairs.</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11"/>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Competency Sift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46" w:hRule="atLeast"/>
        </w:trPr>
        <w:tc>
          <w:tcPr>
            <w:tcW w:w="4361"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r>
              <w:rPr>
                <w:rFonts w:ascii="Arial" w:hAnsi="Arial" w:eastAsia="Arial" w:cs="Arial"/>
                <w:lang w:val="en-GB" w:eastAsia="en-GB" w:bidi="en-GB"/>
              </w:rPr>
              <w:t xml:space="preserve">Have awareness of other basic maintenance and repair tasks (for example, mechanical and building works maintenance and repairs), or be willing to develop these skills.</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12"/>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32" w:hRule="atLeast"/>
        </w:trPr>
        <w:tc>
          <w:tcPr>
            <w:tcW w:w="4361"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r>
              <w:rPr>
                <w:rFonts w:ascii="Arial" w:hAnsi="Arial" w:eastAsia="Arial" w:cs="Arial"/>
                <w:lang w:val="en-GB" w:eastAsia="en-GB" w:bidi="en-GB"/>
              </w:rPr>
              <w:t xml:space="preserve">Sound knowledge of Health and Safety Legislation, Risk Assessments and Method Statements (Safe Systems of Work).  </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13"/>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32" w:hRule="atLeast"/>
        </w:trPr>
        <w:tc>
          <w:tcPr>
            <w:tcW w:w="4361" w:type="dxa"/>
            <w:tcBorders>
              <w:bottom w:val="single" w:sz="4" w:space="0" w:color="92CDDC"/>
            </w:tcBorders>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r>
              <w:rPr>
                <w:rFonts w:ascii="Arial" w:hAnsi="Arial" w:eastAsia="Arial" w:cs="Arial"/>
                <w:lang w:val="en-GB" w:eastAsia="en-GB" w:bidi="en-GB"/>
              </w:rPr>
              <w:t xml:space="preserve">Ability to interpret from drawings, instructions, and specifications.</w:t>
            </w: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14"/>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5"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b/>
                <w:bCs/>
                <w:lang w:val="en-GB" w:eastAsia="en-GB" w:bidi="en-GB"/>
              </w:rPr>
              <w:t xml:space="preserve">Behaviours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B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b/>
                <w:bCs/>
                <w:lang w:val="en-US" w:eastAsia="en-US" w:bidi="en-US"/>
              </w:rPr>
            </w:pPr>
            <w:sdt>
              <w:sdtPr>
                <w:id w:val="15"/>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r>
                  <w:rPr>
                    <w:rFonts w:ascii="Arial" w:hAnsi="Arial" w:eastAsia="Arial" w:cs="Arial"/>
                    <w:b/>
                    <w:bCs/>
                    <w:lang w:val="en-US" w:eastAsia="en-US" w:bidi="en-US"/>
                  </w:rPr>
                  <w:t xml:space="preserve">Problem Solving &amp; Decision Making</w:t>
                </w:r>
              </w:sdtContent>
            </w:sdt>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sdt>
              <w:sdtPr>
                <w:id w:val="16"/>
                <w:dropDownList>
                  <w:listItem w:displayText="Essential" w:value="Essential"/>
                </w:dropDownList>
              </w:sdtPr>
              <w:sdtContent>
                <w:r>
                  <w:rPr>
                    <w:rFonts w:ascii="Arial" w:hAnsi="Arial" w:eastAsia="Arial" w:cs="Arial"/>
                    <w:b/>
                    <w:bCs/>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34" w:hRule="atLeast"/>
        </w:trPr>
        <w:tc>
          <w:tcPr>
            <w:tcW w:w="4361" w:type="dxa"/>
            <w:shd w:val="clear" w:color="auto" w:fill="DB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sdt>
              <w:sdtPr>
                <w:id w:val="17"/>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r>
                  <w:rPr>
                    <w:rFonts w:ascii="Arial" w:hAnsi="Arial" w:eastAsia="Arial" w:cs="Arial"/>
                    <w:b/>
                    <w:bCs/>
                    <w:lang w:val="en-US" w:eastAsia="en-US" w:bidi="en-US"/>
                  </w:rPr>
                  <w:t xml:space="preserve">Change &amp; Improve</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sdt>
              <w:sdtPr>
                <w:id w:val="18"/>
                <w:dropDownList>
                  <w:listItem w:displayText="Essential" w:value="Essential"/>
                </w:dropDownList>
              </w:sdtPr>
              <w:sdtContent>
                <w:r>
                  <w:rPr>
                    <w:rFonts w:ascii="Arial" w:hAnsi="Arial" w:eastAsia="Arial" w:cs="Arial"/>
                    <w:b/>
                    <w:bCs/>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46" w:hRule="atLeast"/>
        </w:trPr>
        <w:tc>
          <w:tcPr>
            <w:tcW w:w="4361" w:type="dxa"/>
            <w:shd w:val="clear" w:color="auto" w:fill="DB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b/>
                <w:bCs/>
                <w:lang w:val="en-GB" w:eastAsia="en-GB" w:bidi="en-GB"/>
              </w:rPr>
            </w:pPr>
            <w:sdt>
              <w:sdtPr>
                <w:id w:val="19"/>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r>
                  <w:rPr>
                    <w:rFonts w:ascii="Arial" w:hAnsi="Arial" w:eastAsia="Arial" w:cs="Arial"/>
                    <w:b/>
                    <w:bCs/>
                    <w:lang w:val="en-US" w:eastAsia="en-US" w:bidi="en-US"/>
                  </w:rPr>
                  <w:t xml:space="preserve">Relationships &amp; Collaboration</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sdt>
              <w:sdtPr>
                <w:id w:val="20"/>
                <w:dropDownList>
                  <w:listItem w:displayText="Essential" w:value="Essential"/>
                </w:dropDownList>
              </w:sdtPr>
              <w:sdtContent>
                <w:r>
                  <w:rPr>
                    <w:rFonts w:ascii="Arial" w:hAnsi="Arial" w:eastAsia="Arial" w:cs="Arial"/>
                    <w:b/>
                    <w:bCs/>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44" w:hRule="atLeast"/>
        </w:trPr>
        <w:tc>
          <w:tcPr>
            <w:tcW w:w="4361" w:type="dxa"/>
            <w:shd w:val="clear" w:color="auto" w:fill="DB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b/>
                <w:bCs/>
                <w:lang w:val="en-GB" w:eastAsia="en-GB" w:bidi="en-GB"/>
              </w:rPr>
            </w:pPr>
            <w:sdt>
              <w:sdtPr>
                <w:id w:val="21"/>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r>
                  <w:rPr>
                    <w:rFonts w:ascii="Arial" w:hAnsi="Arial" w:eastAsia="Arial" w:cs="Arial"/>
                    <w:b/>
                    <w:bCs/>
                    <w:lang w:val="en-US" w:eastAsia="en-US" w:bidi="en-US"/>
                  </w:rPr>
                  <w:t xml:space="preserve">Develop Ourselves &amp; Others</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sdt>
              <w:sdtPr>
                <w:id w:val="22"/>
                <w:dropDownList>
                  <w:listItem w:displayText="Essential" w:value="Essential"/>
                </w:dropDownList>
              </w:sdtPr>
              <w:sdtContent>
                <w:r>
                  <w:rPr>
                    <w:rFonts w:ascii="Arial" w:hAnsi="Arial" w:eastAsia="Arial" w:cs="Arial"/>
                    <w:b/>
                    <w:bCs/>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i/>
          <w:i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i/>
          <w:iCs/>
          <w:sz w:val="20"/>
          <w:szCs w:val="20"/>
          <w:lang w:val="en-GB" w:eastAsia="en-GB" w:bidi="en-GB"/>
        </w:rPr>
      </w:pPr>
    </w:p>
    <w:sectPr>
      <w:headerReference w:type="default" r:id="rId00008"/>
      <w:footerReference w:type="default" r:id="rId00009"/>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Cambria">
    <w:panose1 w:val="02040503050406030204"/>
    <w:charset w:val="00"/>
    <w:family w:val="roman"/>
    <w:pitch w:val="variable"/>
    <w:sig w:usb0="E00006FF" w:usb1="420024FF" w:usb2="02000000" w:usb3="00000000" w:csb0="2000019F" w:csb1="00000000"/>
  </w:font>
  <w:font w:name="Segoe UI">
    <w:panose1 w:val="020B0502040204020203"/>
    <w:charset w:val="00"/>
    <w:family w:val="swiss"/>
    <w:pitch w:val="variable"/>
    <w:sig w:usb0="E4002EFF" w:usb1="C000E47F"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jc w:val="right"/>
      <w:rPr>
        <w:rFonts w:ascii="Arial" w:hAnsi="Arial" w:eastAsia="Arial" w:cs="Arial"/>
        <w:lang w:val="en-GB" w:eastAsia="en-GB" w:bidi="en-GB"/>
      </w:rPr>
    </w:pPr>
    <w:r>
      <w:pict>
        <v:shape id="MSIPCMc5a94d67a0c4520aba973cd0" coordsize="21600,21600" o:spt="202" path="m,l,21600r21600,l21600,xe" fillcolor="#FFFFFF" stroked="f" strokeweight="0" style="width:595.3pt;height:21.5pt;position:absolute;margin-left:0pt;margin-top:805.35pt;z-index:251660288;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r>
      <w:rPr>
        <w:rFonts w:ascii="Arial" w:hAnsi="Arial" w:eastAsia="Arial" w:cs="Arial"/>
        <w:noProof/>
        <w:lang w:val="en-GB" w:eastAsia="en-GB" w:bidi="en-GB"/>
      </w:rPr>
      <w:fldChar w:fldCharType="begin"/>
    </w:r>
    <w:r>
      <w:rPr>
        <w:rFonts w:ascii="Arial" w:hAnsi="Arial" w:eastAsia="Arial" w:cs="Arial"/>
        <w:noProof/>
        <w:lang w:val="en-GB" w:eastAsia="en-GB" w:bidi="en-GB"/>
      </w:rPr>
      <w:instrText xml:space="preserve"> PAGE \* Arabic \* MERGEFORMAT </w:instrText>
    </w:r>
    <w:r>
      <w:rPr>
        <w:rFonts w:ascii="Arial" w:hAnsi="Arial" w:eastAsia="Arial" w:cs="Arial"/>
        <w:noProof/>
        <w:lang w:val="en-GB" w:eastAsia="en-GB" w:bidi="en-GB"/>
      </w:rPr>
      <w:fldChar w:fldCharType="separate"/>
    </w:r>
    <w:r>
      <w:rPr>
        <w:rFonts w:ascii="Arial" w:hAnsi="Arial" w:eastAsia="Arial" w:cs="Arial"/>
        <w:noProof/>
        <w:lang w:val="en-GB" w:eastAsia="en-GB" w:bidi="en-GB"/>
      </w:rPr>
      <w:t xml:space="preserve">2</w:t>
    </w:r>
    <w:r>
      <w:rPr>
        <w:rFonts w:ascii="Arial" w:hAnsi="Arial" w:eastAsia="Arial" w:cs="Arial"/>
        <w:lang w:val="en-GB" w:eastAsia="en-GB" w:bidi="en-GB"/>
      </w:rPr>
      <w:fldChar w:fldCharType="end"/>
    </w:r>
  </w:p>
  <w:p>
    <w:pPr>
      <w:pStyle w:val="Footer"/>
      <w:rPr>
        <w:rFonts w:ascii="Arial" w:hAnsi="Arial" w:eastAsia="Arial" w:cs="Arial"/>
        <w:sz w:val="18"/>
        <w:szCs w:val="18"/>
        <w:lang w:val="en-GB" w:eastAsia="en-GB" w:bidi="en-GB"/>
      </w:rPr>
    </w:pPr>
    <w:r>
      <w:rPr>
        <w:rFonts w:ascii="Arial" w:hAnsi="Arial" w:eastAsia="Arial" w:cs="Arial"/>
        <w:sz w:val="18"/>
        <w:szCs w:val="18"/>
        <w:lang w:val="en-GB" w:eastAsia="en-GB" w:bidi="en-GB"/>
      </w:rPr>
      <w:t xml:space="preserve">V4 - 2022</w:t>
    </w:r>
  </w:p>
  <w:p>
    <w:pPr>
      <w:pStyle w:val="Footer"/>
      <w:rPr>
        <w:rFonts w:ascii="Arial" w:hAnsi="Arial" w:eastAsia="Arial" w:cs="Arial"/>
        <w:sz w:val="18"/>
        <w:szCs w:val="18"/>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MSIPCM500d415db6cebe4f5da7d4af" coordsize="21600,21600" o:spt="202" path="m,l,21600r21600,l21600,xe" fillcolor="#FFFFFF" stroked="f" strokeweight="0" style="width:595.3pt;height:21.5pt;position:absolute;margin-left:0pt;margin-top:15pt;z-index:251659264;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p>
</w:hdr>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paragraph" w:styleId="Heading1">
    <w:name w:val="heading 1"/>
    <w:basedOn w:val="Normal"/>
    <w:next w:val="Normal"/>
    <w:qFormat/>
    <w:pPr>
      <w:keepNext/>
      <w:keepLines/>
      <w:spacing w:before="480" w:after="0"/>
      <w:outlineLvl w:val="0"/>
    </w:pPr>
    <w:rPr>
      <w:rFonts w:ascii="Cambria" w:hAnsi="Cambria" w:eastAsia="Cambria" w:cs="Cambria"/>
      <w:b/>
      <w:bCs/>
      <w:color w:val="366091"/>
      <w:sz w:val="28"/>
      <w:szCs w:val="28"/>
      <w:lang w:val="en-GB" w:eastAsia="en-GB" w:bidi="en-GB"/>
    </w:rPr>
  </w:style>
  <w:style w:type="character" w:styleId="Heading 1 Char" w:customStyle="1">
    <w:name w:val="Heading 1 Char"/>
    <w:qFormat/>
    <w:rPr>
      <w:rFonts w:ascii="Cambria" w:hAnsi="Cambria" w:eastAsia="Cambria" w:cs="Cambria"/>
      <w:b/>
      <w:bCs/>
      <w:color w:val="366091"/>
      <w:sz w:val="28"/>
      <w:szCs w:val="28"/>
      <w:rtl w:val="off"/>
    </w:rPr>
  </w:style>
  <w:style w:type="paragraph" w:styleId="ListParagraph">
    <w:name w:val="List Paragraph"/>
    <w:basedOn w:val="Normal"/>
    <w:next w:val="ListParagraph"/>
    <w:qFormat/>
    <w:pPr>
      <w:ind w:left="720"/>
    </w:pPr>
    <w:rPr>
      <w:lang w:val="en-GB" w:eastAsia="en-GB" w:bidi="en-GB"/>
    </w:rPr>
  </w:style>
  <w:style w:type="character" w:styleId="Header Char" w:customStyle="1">
    <w:name w:val="Header Char"/>
    <w:qFormat/>
    <w:rPr>
      <w:rtl w:val="off"/>
    </w:rPr>
  </w:style>
  <w:style w:type="character" w:styleId="Footer Char" w:customStyle="1">
    <w:name w:val="Footer Char"/>
    <w:qFormat/>
    <w:rPr>
      <w:rtl w:val="off"/>
    </w:rPr>
  </w:style>
  <w:style w:type="character" w:styleId="PlaceholderText">
    <w:name w:val="Placeholder Text"/>
    <w:qFormat/>
    <w:rPr>
      <w:color w:val="808080"/>
      <w:rtl w:val="off"/>
    </w:rPr>
  </w:style>
  <w:style w:type="character" w:styleId="Style1" w:customStyle="1">
    <w:name w:val="Style1"/>
    <w:qFormat/>
    <w:rPr>
      <w:rFonts w:ascii="Arial" w:hAnsi="Arial" w:eastAsia="Arial" w:cs="Arial"/>
      <w:rtl w:val="off"/>
    </w:rPr>
  </w:style>
  <w:style w:type="character" w:styleId="Style2" w:customStyle="1">
    <w:name w:val="Style2"/>
    <w:qFormat/>
    <w:rPr>
      <w:rFonts w:ascii="Arial" w:hAnsi="Arial" w:eastAsia="Arial" w:cs="Arial"/>
      <w:rtl w:val="off"/>
    </w:rPr>
  </w:style>
  <w:style w:type="character" w:styleId="Style3" w:customStyle="1">
    <w:name w:val="Style3"/>
    <w:qFormat/>
    <w:rPr>
      <w:rFonts w:ascii="Arial" w:hAnsi="Arial" w:eastAsia="Arial" w:cs="Arial"/>
      <w:rtl w:val="off"/>
    </w:rPr>
  </w:style>
  <w:style w:type="character" w:styleId="Style4" w:customStyle="1">
    <w:name w:val="Style4"/>
    <w:qFormat/>
    <w:rPr>
      <w:rFonts w:ascii="Arial" w:hAnsi="Arial" w:eastAsia="Arial" w:cs="Arial"/>
      <w:rtl w:val="off"/>
    </w:rPr>
  </w:style>
  <w:style w:type="character" w:styleId="Style5" w:customStyle="1">
    <w:name w:val="Style5"/>
    <w:qFormat/>
    <w:rPr>
      <w:rFonts w:ascii="Arial" w:hAnsi="Arial" w:eastAsia="Arial" w:cs="Arial"/>
      <w:rtl w:val="off"/>
    </w:rPr>
  </w:style>
  <w:style w:type="paragraph" w:styleId="BalloonText">
    <w:name w:val="Balloon Text"/>
    <w:basedOn w:val="Normal"/>
    <w:next w:val="BalloonText"/>
    <w:qFormat/>
    <w:pPr>
      <w:spacing w:after="0" w:line="240" w:lineRule="auto"/>
    </w:pPr>
    <w:rPr>
      <w:rFonts w:ascii="Segoe UI" w:hAnsi="Segoe UI" w:eastAsia="Segoe UI" w:cs="Segoe UI"/>
      <w:sz w:val="18"/>
      <w:szCs w:val="18"/>
      <w:lang w:val="en-GB" w:eastAsia="en-GB" w:bidi="en-GB"/>
    </w:rPr>
  </w:style>
  <w:style w:type="character" w:styleId="Balloon Text Char" w:customStyle="1">
    <w:name w:val="Balloon Text Char"/>
    <w:qFormat/>
    <w:rPr>
      <w:rFonts w:ascii="Segoe UI" w:hAnsi="Segoe UI" w:eastAsia="Segoe UI" w:cs="Segoe UI"/>
      <w:sz w:val="18"/>
      <w:szCs w:val="18"/>
      <w:rtl w:val="off"/>
    </w:rPr>
  </w:style>
  <w:style w:type="paragraph" w:styleId="Title">
    <w:name w:val="Title"/>
    <w:basedOn w:val="Normal"/>
    <w:next w:val="Normal"/>
    <w:qFormat/>
    <w:pPr>
      <w:spacing w:after="0" w:line="240" w:lineRule="auto"/>
    </w:pPr>
    <w:rPr>
      <w:rFonts w:ascii="Cambria" w:hAnsi="Cambria" w:eastAsia="Cambria" w:cs="Cambria"/>
      <w:spacing w:val="-10"/>
      <w:sz w:val="56"/>
      <w:szCs w:val="56"/>
      <w:lang w:val="en-GB" w:eastAsia="en-GB" w:bidi="en-GB"/>
    </w:rPr>
  </w:style>
  <w:style w:type="character" w:styleId="Title Char" w:customStyle="1">
    <w:name w:val="Title Char"/>
    <w:qFormat/>
    <w:rPr>
      <w:rFonts w:ascii="Cambria" w:hAnsi="Cambria" w:eastAsia="Cambria" w:cs="Cambria"/>
      <w:spacing w:val="-10"/>
      <w:sz w:val="56"/>
      <w:szCs w:val="56"/>
      <w:rtl w:val="off"/>
    </w:rPr>
  </w:style>
  <w:style w:type="paragraph" w:styleId="NormalWeb">
    <w:name w:val="Normal (Web)"/>
    <w:basedOn w:val="Normal"/>
    <w:next w:val="NormalWeb"/>
    <w:qFormat/>
    <w:pPr>
      <w:spacing w:after="0" w:line="240" w:lineRule="auto"/>
    </w:pPr>
    <w:rPr>
      <w:rFonts w:ascii="Times New Roman" w:hAnsi="Times New Roman" w:eastAsia="Times New Roman" w:cs="Times New Roman"/>
      <w:sz w:val="24"/>
      <w:szCs w:val="24"/>
      <w:lang w:val="en-GB" w:eastAsia="en-GB" w:bidi="en-GB"/>
    </w:rPr>
  </w:style>
  <w:style w:type="character" w:styleId="Strong">
    <w:name w:val="Strong"/>
    <w:qFormat/>
    <w:rPr>
      <w:b/>
      <w:bCs/>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8" Type="http://schemas.openxmlformats.org/officeDocument/2006/relationships/header" Target="header0001.xml"/>
	<Relationship Id="rId00009" Type="http://schemas.openxmlformats.org/officeDocument/2006/relationships/footer" Target="footer0001.xml"/>
	<Relationship Id="rId00007" Type="http://schemas.openxmlformats.org/officeDocument/2006/relationships/image" Target="media/image0002.emf"/>
	<Relationship Id="rId00006" Type="http://schemas.openxmlformats.org/officeDocument/2006/relationships/image" Target="media/image0001.jpg"/>
	<Relationship Id="rId00010" Type="http://schemas.openxmlformats.org/officeDocument/2006/relationships/fontTable" Target="fontTable.xml"/>
	<Relationship Id="rId000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SpinTest</dc:creator>
  <dcterms:created xsi:type="dcterms:W3CDTF">2024-12-12T09:06:00Z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ority">
    <vt:lpwstr>Short (0-6 mths)</vt:lpwstr>
  </property>
  <property fmtid="{D5CDD505-2E9C-101B-9397-08002B2CF9AE}" pid="3" name="ContentTypeId">
    <vt:lpwstr>0x010100049A0E3DABB6AC4A8E6AFC104F7EAA2D</vt:lpwstr>
  </property>
  <property fmtid="{D5CDD505-2E9C-101B-9397-08002B2CF9AE}" pid="4" name="MSIP_Label_345a5628-45e9-4ab3-9be1-66b8fee5ba00_SetDate">
    <vt:lpwstr>2022-11-18T13:07:26Z</vt:lpwstr>
  </property>
  <property fmtid="{D5CDD505-2E9C-101B-9397-08002B2CF9AE}" pid="5" name="MSIP_Label_345a5628-45e9-4ab3-9be1-66b8fee5ba00_Name">
    <vt:lpwstr>Official</vt:lpwstr>
  </property>
  <property fmtid="{D5CDD505-2E9C-101B-9397-08002B2CF9AE}" pid="6" name="MSIP_Label_345a5628-45e9-4ab3-9be1-66b8fee5ba00_ActionId">
    <vt:lpwstr>7bfd91ca-05a2-412e-853f-804850344d25</vt:lpwstr>
  </property>
  <property fmtid="{D5CDD505-2E9C-101B-9397-08002B2CF9AE}" pid="7" name="MSIP_Label_345a5628-45e9-4ab3-9be1-66b8fee5ba00_Enabled">
    <vt:lpwstr>true</vt:lpwstr>
  </property>
  <property fmtid="{D5CDD505-2E9C-101B-9397-08002B2CF9AE}" pid="8" name="MSIP_Label_345a5628-45e9-4ab3-9be1-66b8fee5ba00_ContentBits">
    <vt:lpwstr>3</vt:lpwstr>
  </property>
  <property fmtid="{D5CDD505-2E9C-101B-9397-08002B2CF9AE}" pid="9" name="MSIP_Label_345a5628-45e9-4ab3-9be1-66b8fee5ba00_SiteId">
    <vt:lpwstr>72e022f2-1d7b-48a2-872d-a0ff35f57a8d</vt:lpwstr>
  </property>
  <property fmtid="{D5CDD505-2E9C-101B-9397-08002B2CF9AE}" pid="10" name="MSIP_Label_345a5628-45e9-4ab3-9be1-66b8fee5ba00_Method">
    <vt:lpwstr>Standard</vt:lpwstr>
  </property>
</Properties>
</file>