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9700" cy="122237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9700" cy="122237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-7695</wp:posOffset>
                </wp:positionH>
                <wp:positionV relativeFrom="paragraph">
                  <wp:posOffset>189309</wp:posOffset>
                </wp:positionV>
                <wp:extent cx="4305043" cy="75737"/>
                <wp:wrapNone/>
                <wp:docPr id="4" name="Rectangle 2"/>
                <a:graphic xmlns:a="http://schemas.openxmlformats.org/drawingml/2006/main">
                  <a:graphicData uri="http://schemas.microsoft.com/office/word/2010/wordprocessingShape">
                    <wps:wsp>
                      <wps:cNvSpPr/>
                      <wps:spPr>
                        <a:xfrm>
                          <a:off x="0" y="0"/>
                          <a:ext cx="4305043" cy="7573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MAIL ASSISTANT (PART/TIME)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1 </w:t>
            </w:r>
            <w:r>
              <w:rPr>
                <w:rFonts w:ascii="Arial" w:hAnsi="Arial" w:eastAsia="Arial" w:cs="Arial"/>
                <w:i/>
                <w:iCs/>
                <w:sz w:val="22"/>
                <w:szCs w:val="22"/>
                <w:lang w:val="en-GB" w:eastAsia="en-GB" w:bidi="en-GB"/>
              </w:rPr>
              <w:t xml:space="preserve">: Competency Sift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2 </w:t>
            </w:r>
            <w:r>
              <w:rPr>
                <w:rFonts w:ascii="Arial" w:hAnsi="Arial" w:eastAsia="Arial" w:cs="Arial"/>
                <w:i/>
                <w:iCs/>
                <w:sz w:val="22"/>
                <w:szCs w:val="22"/>
                <w:lang w:val="en-GB" w:eastAsia="en-GB" w:bidi="en-GB"/>
              </w:rPr>
              <w:t xml:space="preserve">– Final Stage Interview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Minimum of 2 National 5 Awards (or equivalent) including English, Maths or Arithmetic or administration relevant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Sift 1</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t xml:space="preserve">Demonstrate strong digital skills, including confident use of Microsoft office applications such as Excel, Word, Outlook, TEAMS and PowerPoint.  </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Sift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sz w:val="22"/>
                <w:szCs w:val="22"/>
                <w:lang w:val="en-GB" w:eastAsia="en-GB" w:bidi="en-GB"/>
              </w:rPr>
            </w:pPr>
            <w:r>
              <w:rPr>
                <w:rFonts w:ascii="Arial" w:hAnsi="Arial" w:eastAsia="Arial" w:cs="Arial"/>
                <w:lang w:val="en-GB" w:eastAsia="en-GB" w:bidi="en-GB"/>
              </w:rPr>
              <w:t xml:space="preserve">Interview</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t xml:space="preserve">Administrative Experience – Skilled and experienced in administrative support, delivering consistently high standards of organisation and accuracy.</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Sift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t xml:space="preserve">Ability of prioritising workloads and attention to detail, whilst working to departmental deadlines. </w:t>
            </w:r>
            <w:r>
              <w:rPr>
                <w:rFonts w:ascii="Arial" w:hAnsi="Arial" w:eastAsia="Arial" w:cs="Arial"/>
                <w:sz w:val="22"/>
                <w:szCs w:val="22"/>
                <w:lang w:val="en-GB" w:eastAsia="en-GB" w:bidi="en-GB"/>
              </w:rPr>
              <w:t xml:space="preserve">&gt;</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Sift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5"/>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Relationships &amp; Collaboration</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6"/>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8"/>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0"/>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1"/>
                <w:date w:fullDate="2026-07-24T00:00:00Z">
                  <w:dateFormat w:val="dd/MM/yyyy"/>
                </w:date>
              </w:sdtPr>
              <w:sdtContent>
                <w:r>
                  <w:rPr>
                    <w:rStyle w:val="PlaceholderText"/>
                    <w:lang w:val="en-GB" w:eastAsia="en-GB" w:bidi="en-GB"/>
                  </w:rPr>
                  <w:t xml:space="preserve">24/07/2026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2"/>
                <w:date>
                  <w:dateFormat w:val="dd MMMM yyyy"/>
                </w:date>
              </w:sdtPr>
              <w:sdtContent>
                <w:r>
                  <w:rPr>
                    <w:rFonts w:ascii="Arial" w:hAnsi="Arial" w:eastAsia="Arial" w:cs="Arial"/>
                    <w:sz w:val="22"/>
                    <w:szCs w:val="22"/>
                    <w:lang w:val="en-GB" w:eastAsia="en-GB" w:bidi="en-GB"/>
                  </w:rPr>
                  <w:t xml:space="preserve">TBC </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Lauren Bichard  at </w:t>
      </w:r>
      <w:r>
        <w:rPr>
          <w:rStyle w:val="Hyperlink"/>
          <w:rFonts w:ascii="Arial" w:hAnsi="Arial" w:eastAsia="Arial" w:cs="Arial"/>
          <w:sz w:val="22"/>
          <w:szCs w:val="22"/>
          <w:lang w:val="en-GB" w:eastAsia="en-GB" w:bidi="en-GB"/>
        </w:rPr>
        <w:fldChar w:fldCharType="begin"/>
      </w:r>
      <w:r>
        <w:rPr>
          <w:rStyle w:val="Hyperlink"/>
          <w:rFonts w:ascii="Arial" w:hAnsi="Arial" w:eastAsia="Arial" w:cs="Arial"/>
          <w:sz w:val="22"/>
          <w:szCs w:val="22"/>
          <w:lang w:val="en-GB" w:eastAsia="en-GB" w:bidi="en-GB"/>
        </w:rPr>
        <w:instrText xml:space="preserve"> HYPERLINK "mailto:Lauren.Bichard@prisons.gov.scot" </w:instrText>
      </w:r>
      <w:r>
        <w:rPr>
          <w:rStyle w:val="Hyperlink"/>
          <w:rFonts w:ascii="Arial" w:hAnsi="Arial" w:eastAsia="Arial" w:cs="Arial"/>
          <w:sz w:val="22"/>
          <w:szCs w:val="22"/>
          <w:lang w:val="en-GB" w:eastAsia="en-GB" w:bidi="en-GB"/>
        </w:rPr>
        <w:fldChar w:fldCharType="separate"/>
      </w:r>
      <w:r>
        <w:rPr>
          <w:rStyle w:val="Hyperlink"/>
          <w:rFonts w:ascii="Arial" w:hAnsi="Arial" w:eastAsia="Arial" w:cs="Arial"/>
          <w:sz w:val="22"/>
          <w:szCs w:val="22"/>
          <w:lang w:val="en-GB" w:eastAsia="en-GB" w:bidi="en-GB"/>
        </w:rPr>
        <w:t xml:space="preserve">Lauren.Bichard@prisons.gov.scot</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or on 01475 883316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jc w:val="both"/>
        <w:rPr>
          <w:rFonts w:ascii="Arial" w:hAnsi="Arial" w:eastAsia="Arial" w:cs="Arial"/>
          <w:sz w:val="22"/>
          <w:szCs w:val="22"/>
          <w:lang w:val="en-US" w:eastAsia="en-US" w:bidi="en-US"/>
        </w:rPr>
      </w:pPr>
      <w:r>
        <w:drawing>
          <wp:anchor distT="0" distB="0" distL="114300" distR="114300" simplePos="0" relativeHeight="251660287" behindDoc="0" locked="0" layoutInCell="1" hidden="0" allowOverlap="1">
            <wp:simplePos x="0" y="0"/>
            <wp:positionH relativeFrom="column">
              <wp:posOffset>4638675</wp:posOffset>
            </wp:positionH>
            <wp:positionV relativeFrom="paragraph">
              <wp:posOffset>14605</wp:posOffset>
            </wp:positionV>
            <wp:extent cx="1327150" cy="571500"/>
            <wp:wrapSquare wrapText="bothSides"/>
            <wp:docPr id="5" name="Picture 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1327150" cy="5715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column">
              <wp:posOffset>2286000</wp:posOffset>
            </wp:positionH>
            <wp:positionV relativeFrom="paragraph">
              <wp:posOffset>52070</wp:posOffset>
            </wp:positionV>
            <wp:extent cx="673100" cy="558800"/>
            <wp:wrapSquare wrapText="bothSides"/>
            <wp:docPr id="6" name="_tx_id_1_Picture 1"/>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673100" cy="558800"/>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30275" cy="488950"/>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930275" cy="488950"/>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8" name="Picture 8"/>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762000" cy="55245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7050"/>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705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character" w:styleId="UnresolvedMention">
    <w:name w:val="Unresolved Mention"/>
    <w:qFormat/>
    <w:rPr>
      <w:color w:val="605E5C"/>
      <w:shd w:val="clear" w:color="auto" w:fill="E1DFDD"/>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jpg"/>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2026-06-23T08:38:00Z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0x010100EDE3D0010653EB42B817C4224FB8382A</vt:lpwstr>
  </property>
  <property fmtid="{D5CDD505-2E9C-101B-9397-08002B2CF9AE}" pid="11" name="MSIP_Label_345a5628-45e9-4ab3-9be1-66b8fee5ba00_Method">
    <vt:lpwstr>Standard</vt:lpwstr>
  </property>
</Properties>
</file>