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9700" cy="12223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9700" cy="12223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-7695</wp:posOffset>
                </wp:positionH>
                <wp:positionV relativeFrom="paragraph">
                  <wp:posOffset>189309</wp:posOffset>
                </wp:positionV>
                <wp:extent cx="4305043" cy="75737"/>
                <wp:wrapNone/>
                <wp:docPr id="4" name="Rectangle 2"/>
                <a:graphic xmlns:a="http://schemas.openxmlformats.org/drawingml/2006/main">
                  <a:graphicData uri="http://schemas.microsoft.com/office/word/2010/wordprocessingShape">
                    <wps:wsp>
                      <wps:cNvSpPr/>
                      <wps:spPr>
                        <a:xfrm>
                          <a:off x="0" y="0"/>
                          <a:ext cx="4305043" cy="7573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APPLICANT PACK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General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26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b/>
                <w:bCs/>
                <w:lang w:val="en-GB" w:eastAsia="en-GB" w:bidi="en-GB"/>
              </w:rPr>
            </w:pPr>
            <w:r>
              <w:rPr>
                <w:rFonts w:ascii="Arial" w:hAnsi="Arial" w:eastAsia="Arial" w:cs="Arial"/>
                <w:b/>
                <w:bCs/>
                <w:lang w:val="en-GB" w:eastAsia="en-GB" w:bidi="en-GB"/>
              </w:rPr>
              <w:t xml:space="preserve">Job Purpose	</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provide efficient and reliable administrative support across the organisation, ensuring daily operations run smoothly. The Admin Assistant will handle a range of tasks including managing correspondence, organising information, maintaining records and supporting colleagues and managers with routine administrative duties. This role is essential in helping the team operate effectively and in delivering a high standard of service. The post holder will provide an effective and efficient service to the prisoner population within strict deadlines and within the parameters of the SPS Finance Policy supporting admin, procurement and bag and tag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Working hours Monday to Thursday 0930-1430, Friday 0900-1230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sz w:val="22"/>
                <w:szCs w:val="22"/>
                <w:lang w:val="en-GB" w:eastAsia="en-GB" w:bidi="en-GB"/>
              </w:rPr>
              <w:t xml:space="preserve"> </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1"/>
        <w:gridCol w:w="8345"/>
      </w:tblGrid>
      <w:tr>
        <w:tc>
          <w:tcPr>
            <w:tcW w:w="6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1</w:t>
            </w:r>
          </w:p>
        </w:tc>
        <w:tc>
          <w:tcPr>
            <w:tcW w:w="8345"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Contribute to the delivery of an effective and efficient bag and tag service in accordance to agreed timescales.  </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2</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Inputting prisoners personal cash and ensuring that correct balances are passed to the Cashier at the end of the day.  Processing all local purchases and ensuring they balance.</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3</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Operating switchboard and passing on messages to relevant staff within HMP Shotts. Ensuring mail is processed daily in line with policies.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4</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As part of a multi-functional team you will be required to perform other tasks/ relief cover as specified by Accounts Manager, including procurement duties. </w:t>
            </w:r>
          </w:p>
        </w:tc>
      </w:tr>
      <w:tr>
        <w:tc>
          <w:tcPr>
            <w:tcW w:w="9016" w:type="dxa"/>
            <w:gridSpan w:val="2"/>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Minimum of two National 5 (or equivalent) qualifications including English and Mathematics or relevant general administrative experience.</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Application" w:value="Application"/>
                </w:dropDownList>
              </w:sdtPr>
              <w:sdtContent>
                <w:r>
                  <w:rPr>
                    <w:rFonts w:ascii="Arial" w:hAnsi="Arial" w:eastAsia="Arial" w:cs="Arial"/>
                    <w:sz w:val="22"/>
                    <w:szCs w:val="22"/>
                    <w:lang w:val="en-GB" w:eastAsia="en-GB" w:bidi="en-GB"/>
                  </w:rPr>
                  <w:t xml:space="preserve">Application</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4"/>
                <w:sz w:val="22"/>
                <w:szCs w:val="22"/>
                <w:lang w:val="en-GB" w:eastAsia="en-GB" w:bidi="en-GB"/>
              </w:rPr>
            </w:pPr>
            <w:r>
              <w:rPr>
                <w:rFonts w:ascii="Arial" w:hAnsi="Arial" w:eastAsia="Arial" w:cs="Arial"/>
                <w:spacing w:val="-4"/>
                <w:sz w:val="22"/>
                <w:szCs w:val="22"/>
                <w:lang w:val="en-GB" w:eastAsia="en-GB" w:bidi="en-GB"/>
              </w:rPr>
              <w:t xml:space="preserve">Administration Experience - Skilled and experienced across all areas of administrative support, delivering consistently high standards of organisation and accuracy.</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4"/>
                <w:sz w:val="22"/>
                <w:szCs w:val="22"/>
                <w:lang w:val="en-GB" w:eastAsia="en-GB" w:bidi="en-GB"/>
              </w:rPr>
            </w:pPr>
            <w:r>
              <w:rPr>
                <w:rFonts w:ascii="Arial" w:hAnsi="Arial" w:eastAsia="Arial" w:cs="Arial"/>
                <w:spacing w:val="-4"/>
                <w:sz w:val="22"/>
                <w:szCs w:val="22"/>
                <w:lang w:val="en-GB" w:eastAsia="en-GB" w:bidi="en-GB"/>
              </w:rPr>
              <w:t xml:space="preserve">Competent in the use of Microsoft Office packages including Excel, Word, Outlook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Knowledge &amp; Experience of stock control.</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Desirable</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Analytical Skills - Ability to analyse, interpret &amp; report on a range of information, ensuring accuracy and sound numerical skills.</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8"/>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0"/>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Accountability &amp; Initiative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2"/>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For further information regarding the expectations in regard to behaviours, candidates should reference the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"https://www.sps.gov.uk/careers/working-sps/career-and-development"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Competencies for Success Framework</w:t>
      </w:r>
      <w:r>
        <w:rPr>
          <w:rFonts w:ascii="Arial" w:hAnsi="Arial" w:eastAsia="Arial" w:cs="Arial"/>
          <w:lang w:val="en-GB" w:eastAsia="en-GB" w:bidi="en-GB"/>
        </w:rPr>
        <w:fldChar w:fldCharType="end"/>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ate w:fullDate="2026-05-01T00:00:00Z">
                  <w:dateFormat w:val="dd/MM/yyyy"/>
                </w:date>
              </w:sdtPr>
              <w:sdtContent>
                <w:r>
                  <w:rPr>
                    <w:rFonts w:ascii="Arial" w:hAnsi="Arial" w:eastAsia="Arial" w:cs="Arial"/>
                    <w:sz w:val="22"/>
                    <w:szCs w:val="22"/>
                    <w:lang w:val="en-GB" w:eastAsia="en-GB" w:bidi="en-GB"/>
                  </w:rPr>
                  <w:t xml:space="preserve">01/05/2026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Week commencing 18 May 2026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know some people have conditions which require additional support for them to perform at their best.  We call this support “making reasonable adjustments”.   If you have a disability (visible or non-visible) and require reasonable adjustments to be made to support your participation in the selection process, please contact Shotts HR team at ShottsHR@prisons.gov.scot in the first instance to discuss.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Some examples of reasonable adjustments we have made in the past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Allocating additional time for the interview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Assessors asking interview questions in a different way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Scheduling the interview at a suitable time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Asking multi-stage questions in steps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Providing written documents in different font, colour or text size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Providing some extra information about what to expect through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Printing resources on a different colour of paper</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3100" cy="558800"/>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3100" cy="55880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30275" cy="488950"/>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30275" cy="48895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705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705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March 2024</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cp:keywords>Policy; HumanResources; HR</cp:keywords>
  <dc:creator>Claire Neary</dc:creator>
  <dcterms:created xsi:type="dcterms:W3CDTF">2026-04-17T10:13:00Z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0x0101007E5407EEA406A944BC71E5729663E42E</vt:lpwstr>
  </property>
  <property fmtid="{D5CDD505-2E9C-101B-9397-08002B2CF9AE}" pid="11" name="MSIP_Label_345a5628-45e9-4ab3-9be1-66b8fee5ba00_Method">
    <vt:lpwstr>Standard</vt:lpwstr>
  </property>
</Properties>
</file>