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pict>
          <v:shape id="Text Box 3" coordsize="21600,21600" o:spt="202" path="m,l,21600r21600,l21600,xe" fillcolor="#FFFFFF" stroked="f" strokeweight="0" style="width:277.5pt;height:63.75pt;position:absolute;margin-left:0.3pt;margin-top:9.55pt;z-index:251661311;mso-wrap-distance-top:45720;mso-wrap-distance-right:114300;mso-wrap-distance-bottom:45720;mso-wrap-distance-left:114300;">
            <v:stroke joinstyle="miter"/>
            <v:path gradientshapeok="t" o:connecttype="rect"/>
            <v:textbox inset="7.2pt,3.6pt,7.2pt,3.6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UNLOCKING POTENTIAL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4295"/>
                      <w:sz w:val="40"/>
                      <w:szCs w:val="40"/>
                      <w:lang w:val="en-GB" w:eastAsia="en-GB" w:bidi="en-GB"/>
                    </w:rPr>
                  </w:pPr>
                  <w:r>
                    <w:rPr>
                      <w:rFonts w:ascii="Arial" w:hAnsi="Arial" w:eastAsia="Arial" w:cs="Arial"/>
                      <w:color w:val="004295"/>
                      <w:sz w:val="40"/>
                      <w:szCs w:val="40"/>
                      <w:lang w:val="en-GB" w:eastAsia="en-GB" w:bidi="en-GB"/>
                    </w:rPr>
                    <w:t xml:space="preserve">TRANSFORMING LIVES</w:t>
                  </w:r>
                </w:p>
              </w:txbxContent>
            </v:textbox>
            <w10:wrap type="square"/>
          </v:shape>
        </w:pic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eastAsia="Arial" w:cs="Arial"/>
          <w:lang w:val="en-GB" w:eastAsia="en-GB" w:bidi="en-GB"/>
        </w:rPr>
      </w:pPr>
      <w:r>
        <w:rPr>
          <w:lang w:val="en-GB" w:eastAsia="en-GB" w:bidi="en-GB"/>
        </w:rPr>
        <w:drawing>
          <wp:inline distT="0" distB="0" distL="0" distR="0">
            <wp:extent cx="1400810" cy="1216660"/>
            <wp:docPr id="2" name="Picture 1"/>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6"/>
                    <a:stretch>
                      <a:fillRect/>
                    </a:stretch>
                  </pic:blipFill>
                  <pic:spPr>
                    <a:xfrm>
                      <a:off x="0" y="0"/>
                      <a:ext cx="1400810" cy="1216660"/>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color w:val="333399"/>
          <w:sz w:val="32"/>
          <w:szCs w:val="32"/>
          <w:lang w:val="en-GB" w:eastAsia="en-GB" w:bidi="en-GB"/>
        </w:rPr>
      </w:pPr>
      <w:r>
        <mc:AlternateContent>
          <mc:Choice Requires="wps">
            <w:drawing>
              <wp:anchor distT="0" distB="0" distL="114300" distR="114300" simplePos="0" relativeHeight="251662335" behindDoc="0" locked="0" layoutInCell="1" hidden="0" allowOverlap="1">
                <wp:simplePos x="0" y="0"/>
                <wp:positionH relativeFrom="column">
                  <wp:posOffset>-6350</wp:posOffset>
                </wp:positionH>
                <wp:positionV relativeFrom="paragraph">
                  <wp:posOffset>189230</wp:posOffset>
                </wp:positionV>
                <wp:extent cx="5733708" cy="104157"/>
                <wp:wrapNone/>
                <wp:docPr id="4" name="Rectangle 2"/>
                <a:graphic xmlns:a="http://schemas.openxmlformats.org/drawingml/2006/main">
                  <a:graphicData uri="http://schemas.microsoft.com/office/word/2010/wordprocessingShape">
                    <wps:wsp>
                      <wps:cNvSpPr/>
                      <wps:spPr>
                        <a:xfrm>
                          <a:off x="0" y="0"/>
                          <a:ext cx="5733708" cy="104157"/>
                        </a:xfrm>
                        <a:prstGeom prst="rect"/>
                        <a:solidFill>
                          <a:srgbClr val="17AFBE"/>
                        </a:solidFill>
                        <a:ln w="9525">
                          <a:solidFill>
                            <a:srgbClr val="17AFBE"/>
                          </a:solidFill>
                        </a:ln>
                      </wps:spPr>
                      <wps:bodyPr/>
                      <a:extLst>
                        <a:ext uri="{A2A0BA46-8DB7-4952-BFCE-B747086F0524}">
                          <tx19:NetControl tx23:val="drawing" tx23:pict="rId00007"/>
                        </a:ext>
                      </a:extLst>
                    </wps:wsp>
                  </a:graphicData>
                </a:graphic>
              </wp:anchor>
            </w:drawing>
          </mc:Choice>
        </mc:AlternateConten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36"/>
          <w:szCs w:val="36"/>
          <w:lang w:val="en-GB" w:eastAsia="en-GB" w:bidi="en-GB"/>
        </w:rPr>
      </w:pPr>
      <w:r>
        <w:rPr>
          <w:rFonts w:ascii="Arial" w:hAnsi="Arial" w:eastAsia="Arial" w:cs="Arial"/>
          <w:b/>
          <w:bCs/>
          <w:color w:val="004295"/>
          <w:sz w:val="36"/>
          <w:szCs w:val="36"/>
          <w:lang w:val="en-GB" w:eastAsia="en-GB" w:bidi="en-GB"/>
        </w:rPr>
        <w:t xml:space="preserve">SELECTION INFORMATION &amp; CAMPAIGN TIMELINE</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lang w:val="en-GB" w:eastAsia="en-GB" w:bidi="en-GB"/>
        </w:rPr>
        <w:t xml:space="preserve">Chaplain – Roman Catholic Priest (Part-time), HMP Greenock</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jc w:val="center"/>
        <w:rPr>
          <w:rFonts w:ascii="Arial" w:hAnsi="Arial" w:eastAsia="Arial" w:cs="Arial"/>
          <w:b/>
          <w:bCs/>
          <w:color w:val="004295"/>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want to ensure you have access to all the information you need to feel prepared, confident and able to show us your best.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lang w:val="en-GB" w:eastAsia="en-GB" w:bidi="en-GB"/>
        </w:rPr>
        <w:br w:type="textWrapping"/>
      </w:r>
      <w:r>
        <w:rPr>
          <w:rFonts w:ascii="Arial" w:hAnsi="Arial" w:eastAsia="Arial" w:cs="Arial"/>
          <w:sz w:val="22"/>
          <w:szCs w:val="22"/>
          <w:lang w:val="en-GB" w:eastAsia="en-GB" w:bidi="en-GB"/>
        </w:rPr>
        <w:t xml:space="preserve">We’ve included details of the selection process and at which stage each criteria from the Person Specification will be assessed. We’ve also included key dates you’ll want to keep in mind.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8"/>
          <w:szCs w:val="2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Our selection approach is based upon the principle of merit which means that we’ll look to appointment the person who best meets the requirements of the role as outlined in the Person Specification.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In determining the most meritorious candidate, applicants will be assessed against the published criteria during the selection process, as detailed below. The most meritorious candidate will be the one who best meets the essential criteria for the role. Performance against any published desirable criteria will only be considered where two or more candidates have performed equally against the essential criteria and there is a need to use the desirable criteria to identify the preferred candidate.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The selection process for this role will consist of the following stages: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tbl>
      <w:tblPr>
        <w:tblW w:w="0" w:type="auto"/>
        <w:jc w:val="left"/>
        <w:tblInd w:w="0" w:type="dxa"/>
        <w:tblBorders>
          <w:top w:val="single" w:sz="4" w:space="0" w:color="auto"/>
          <w:left w:val="single" w:sz="4" w:space="0" w:color="auto"/>
          <w:bottom w:val="single" w:sz="4" w:space="0" w:color="auto"/>
          <w:right w:val="single" w:sz="4" w:space="0" w:color="auto"/>
          <w:insideH w:val="none"/>
          <w:insideV w:val="none"/>
        </w:tblBorders>
        <w:tblLayout w:type="fixed"/>
        <w:tblCellMar>
          <w:top w:w="0" w:type="dxa"/>
          <w:left w:w="108" w:type="dxa"/>
          <w:bottom w:w="0" w:type="dxa"/>
          <w:right w:w="108" w:type="dxa"/>
        </w:tblCellMar>
      </w:tblPr>
      <w:tblGrid>
        <w:gridCol w:w="9016"/>
      </w:tblGrid>
      <w:tr>
        <w:tc>
          <w:tcPr>
            <w:tcW w:w="9016" w:type="dxa"/>
            <w:shd w:val="clear" w:color="auto" w:fill="auto"/>
            <w:vAlign w:val="top"/>
          </w:tcPr>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Stage 1  Application Review</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Stage 2 Presentation/Interview</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jc w:val="both"/>
              <w:rPr>
                <w:rFonts w:ascii="Arial" w:hAnsi="Arial" w:eastAsia="Arial" w:cs="Arial"/>
                <w:sz w:val="22"/>
                <w:szCs w:val="22"/>
                <w:lang w:val="en-GB" w:eastAsia="en-GB" w:bidi="en-GB"/>
              </w:rPr>
            </w:pP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Competencies for Success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Please view our </w:t>
      </w:r>
      <w:r>
        <w:rPr>
          <w:rStyle w:val="Hyperlink"/>
          <w:rFonts w:ascii="Arial" w:hAnsi="Arial" w:eastAsia="Arial" w:cs="Arial"/>
          <w:b/>
          <w:bCs/>
          <w:sz w:val="22"/>
          <w:szCs w:val="22"/>
          <w:lang w:val="en-GB" w:eastAsia="en-GB" w:bidi="en-GB"/>
        </w:rPr>
        <w:fldChar w:fldCharType="begin"/>
      </w:r>
      <w:r>
        <w:rPr>
          <w:rStyle w:val="Hyperlink"/>
          <w:rFonts w:ascii="Arial" w:hAnsi="Arial" w:eastAsia="Arial" w:cs="Arial"/>
          <w:b/>
          <w:bCs/>
          <w:sz w:val="22"/>
          <w:szCs w:val="22"/>
          <w:lang w:val="en-GB" w:eastAsia="en-GB" w:bidi="en-GB"/>
        </w:rPr>
        <w:instrText xml:space="preserve"> HYPERLINK "https://www.sps.gov.uk/careers/working-sps/career-and-development" </w:instrText>
      </w:r>
      <w:r>
        <w:rPr>
          <w:rStyle w:val="Hyperlink"/>
          <w:rFonts w:ascii="Arial" w:hAnsi="Arial" w:eastAsia="Arial" w:cs="Arial"/>
          <w:b/>
          <w:bCs/>
          <w:sz w:val="22"/>
          <w:szCs w:val="22"/>
          <w:lang w:val="en-GB" w:eastAsia="en-GB" w:bidi="en-GB"/>
        </w:rPr>
        <w:fldChar w:fldCharType="separate"/>
      </w:r>
      <w:r>
        <w:rPr>
          <w:rStyle w:val="Hyperlink"/>
          <w:rFonts w:ascii="Arial" w:hAnsi="Arial" w:eastAsia="Arial" w:cs="Arial"/>
          <w:b/>
          <w:bCs/>
          <w:sz w:val="22"/>
          <w:szCs w:val="22"/>
          <w:lang w:val="en-GB" w:eastAsia="en-GB" w:bidi="en-GB"/>
        </w:rPr>
        <w:t xml:space="preserve">Competencies for Success Framework</w:t>
      </w:r>
      <w:r>
        <w:rPr>
          <w:rFonts w:ascii="Arial" w:hAnsi="Arial" w:eastAsia="Arial" w:cs="Arial"/>
          <w:sz w:val="22"/>
          <w:szCs w:val="22"/>
          <w:lang w:val="en-GB" w:eastAsia="en-GB" w:bidi="en-GB"/>
        </w:rPr>
        <w:fldChar w:fldCharType="end"/>
      </w:r>
      <w:r>
        <w:rPr>
          <w:rFonts w:ascii="Arial" w:hAnsi="Arial" w:eastAsia="Arial" w:cs="Arial"/>
          <w:sz w:val="22"/>
          <w:szCs w:val="22"/>
          <w:lang w:val="en-GB" w:eastAsia="en-GB" w:bidi="en-GB"/>
        </w:rPr>
        <w:t xml:space="preserve"> for information on the core behavioural competencies which apply to all our roles. During recruitment, you’ll be assessed on up to four Competencies for Success, as outlined in the below Selection Information.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Information</w:t>
      </w: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6658"/>
        <w:gridCol w:w="2409"/>
      </w:tblGrid>
      <w:tr>
        <w:tc>
          <w:tcPr>
            <w:tcW w:w="665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b/>
                <w:bCs/>
                <w:lang w:val="en-GB" w:eastAsia="en-GB" w:bidi="en-GB"/>
              </w:rPr>
            </w:pPr>
            <w:r>
              <w:rPr>
                <w:rFonts w:ascii="Arial" w:hAnsi="Arial" w:eastAsia="Arial" w:cs="Arial"/>
                <w:b/>
                <w:bCs/>
                <w:lang w:val="en-GB" w:eastAsia="en-GB" w:bidi="en-GB"/>
              </w:rPr>
              <w:t xml:space="preserve">Criteria</w:t>
            </w:r>
          </w:p>
        </w:tc>
        <w:tc>
          <w:tcPr>
            <w:tcW w:w="2409"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b/>
                <w:bCs/>
                <w:lang w:val="en-GB" w:eastAsia="en-GB" w:bidi="en-GB"/>
              </w:rPr>
            </w:pPr>
            <w:r>
              <w:rPr>
                <w:rFonts w:ascii="Arial" w:hAnsi="Arial" w:eastAsia="Arial" w:cs="Arial"/>
                <w:b/>
                <w:bCs/>
                <w:lang w:val="en-GB" w:eastAsia="en-GB" w:bidi="en-GB"/>
              </w:rPr>
              <w:t xml:space="preserve">Essential or Desirable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b/>
                <w:bCs/>
                <w:lang w:val="en-GB" w:eastAsia="en-GB" w:bidi="en-GB"/>
              </w:rPr>
            </w:pPr>
            <w:r>
              <w:rPr>
                <w:rFonts w:ascii="Arial" w:hAnsi="Arial" w:eastAsia="Arial" w:cs="Arial"/>
                <w:b/>
                <w:bCs/>
                <w:lang w:val="en-GB" w:eastAsia="en-GB" w:bidi="en-GB"/>
              </w:rPr>
              <w:t xml:space="preserve">Qualifications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6658"/>
        <w:gridCol w:w="2409"/>
      </w:tblGrid>
      <w:tr>
        <w:trPr>
          <w:trHeight w:val="836" w:hRule="atLeast"/>
        </w:trPr>
        <w:tc>
          <w:tcPr>
            <w:tcW w:w="6658" w:type="dxa"/>
            <w:tcBorders>
              <w:top w:val="single" w:sz="4" w:space="0" w:color="92CDDC"/>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Ordained Roman Catholic Priest and in good standing with the Roman Catholic Church.</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b/>
                <w:bCs/>
                <w:lang w:val="en-GB" w:eastAsia="en-GB" w:bidi="en-GB"/>
              </w:rPr>
              <w:t xml:space="preserve">Please note:</w:t>
            </w:r>
            <w:r>
              <w:rPr>
                <w:rFonts w:ascii="Arial" w:hAnsi="Arial" w:eastAsia="Arial" w:cs="Arial"/>
                <w:lang w:val="en-GB" w:eastAsia="en-GB" w:bidi="en-GB"/>
              </w:rPr>
              <w:t xml:space="preserve"> To be eligible for this position, you must be in good standing with your Church. As part of your application, you will be asked to upload a letter of confirmation of your good standing from your current Bishop. This letter must be on headed paper from your diocese and signed off by the Bishop.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Where you are applying for a vacancy out with your current diocese, you are also required to submit a letter from the Bishop of the diocese within which the vacancy lies confirming their support of your application. This letter must be on headed paper from the relevant diocese and signed off by the Bishop.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Please note your application will not be progressed if these conditions are not met.</w:t>
            </w:r>
          </w:p>
        </w:tc>
        <w:tc>
          <w:tcPr>
            <w:tcW w:w="2409" w:type="dxa"/>
            <w:tcBorders>
              <w:top w:val="single" w:sz="4" w:space="0" w:color="92CDDC"/>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lang w:val="en-GB" w:eastAsia="en-GB" w:bidi="en-GB"/>
              </w:rPr>
            </w:pPr>
            <w:sdt>
              <w:sdtPr>
                <w:id w:val="1"/>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rPr>
          <w:trHeight w:val="488" w:hRule="atLeast"/>
        </w:trP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b/>
                <w:bCs/>
                <w:lang w:val="en-GB" w:eastAsia="en-GB" w:bidi="en-GB"/>
              </w:rPr>
            </w:pPr>
            <w:r>
              <w:rPr>
                <w:rFonts w:ascii="Arial" w:hAnsi="Arial" w:eastAsia="Arial" w:cs="Arial"/>
                <w:b/>
                <w:bCs/>
                <w:lang w:val="en-GB" w:eastAsia="en-GB" w:bidi="en-GB"/>
              </w:rPr>
              <w:t xml:space="preserve">Knowledge, Skills &amp; Experience</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46" w:hRule="atLeast"/>
        </w:trPr>
        <w:tc>
          <w:tcPr>
            <w:tcW w:w="6658" w:type="dxa"/>
            <w:tcBorders>
              <w:top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Religious Practice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leading worship and religious events in a community setting.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Style w:val="Strong"/>
                <w:rFonts w:ascii="Arial" w:hAnsi="Arial" w:eastAsia="Arial" w:cs="Arial"/>
                <w:color w:val="FF0000"/>
                <w:lang w:val="en-GB" w:eastAsia="en-GB" w:bidi="en-GB"/>
              </w:rPr>
              <w:t xml:space="preserve">Application Question: </w:t>
            </w:r>
            <w:r>
              <w:rPr>
                <w:rFonts w:ascii="Arial" w:hAnsi="Arial" w:eastAsia="Arial" w:cs="Arial"/>
                <w:lang w:val="en-GB" w:eastAsia="en-GB" w:bidi="en-GB"/>
              </w:rPr>
              <w:t xml:space="preserve">Please briefly describe your experience of leading worship and religious events in a community setting? </w:t>
            </w:r>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lang w:val="en-GB" w:eastAsia="en-GB" w:bidi="en-GB"/>
              </w:rPr>
            </w:pPr>
            <w:sdt>
              <w:sdtPr>
                <w:id w:val="2"/>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46" w:hRule="atLeast"/>
        </w:trPr>
        <w:tc>
          <w:tcPr>
            <w:tcW w:w="6658"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Pastoral Care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Significant experience of providing pastoral care to people from different backgrounds and in different situations.</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Style w:val="Strong"/>
                <w:rFonts w:ascii="Arial" w:hAnsi="Arial" w:eastAsia="Arial" w:cs="Arial"/>
                <w:color w:val="FF0000"/>
                <w:lang w:val="en-GB" w:eastAsia="en-GB" w:bidi="en-GB"/>
              </w:rPr>
              <w:t xml:space="preserve">Application Question: </w:t>
            </w:r>
            <w:r>
              <w:rPr>
                <w:rFonts w:ascii="Arial" w:hAnsi="Arial" w:eastAsia="Arial" w:cs="Arial"/>
                <w:lang w:val="en-GB" w:eastAsia="en-GB" w:bidi="en-GB"/>
              </w:rPr>
              <w:t xml:space="preserve">Please briefly describe your experience of providing pastoral care to a range of people?</w:t>
            </w:r>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lang w:val="en-GB" w:eastAsia="en-GB" w:bidi="en-GB"/>
              </w:rPr>
            </w:pPr>
            <w:sdt>
              <w:sdtPr>
                <w:id w:val="3"/>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32" w:hRule="atLeast"/>
        </w:trPr>
        <w:tc>
          <w:tcPr>
            <w:tcW w:w="6658" w:type="dxa"/>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Spiritual Care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Experience of providing care and support to people of all faiths and none, encouraging, role modelling, building self-esteem and opportunities to belong; accompanying   them on their journey to discover purpose in their lives. </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Style w:val="Strong"/>
                <w:rFonts w:ascii="Arial" w:hAnsi="Arial" w:eastAsia="Arial" w:cs="Arial"/>
                <w:color w:val="FF0000"/>
                <w:lang w:val="en-GB" w:eastAsia="en-GB" w:bidi="en-GB"/>
              </w:rPr>
              <w:t xml:space="preserve">Application Question:</w:t>
            </w:r>
            <w:r>
              <w:rPr>
                <w:rFonts w:ascii="Arial" w:hAnsi="Arial" w:eastAsia="Arial" w:cs="Arial"/>
                <w:color w:val="FF0000"/>
                <w:lang w:val="en-GB" w:eastAsia="en-GB" w:bidi="en-GB"/>
              </w:rPr>
              <w:t xml:space="preserve"> </w:t>
            </w:r>
            <w:r>
              <w:rPr>
                <w:rFonts w:ascii="Arial" w:hAnsi="Arial" w:eastAsia="Arial" w:cs="Arial"/>
                <w:lang w:val="en-GB" w:eastAsia="en-GB" w:bidi="en-GB"/>
              </w:rPr>
              <w:t xml:space="preserve">Please briefly describe your experience of providing spiritual care to people. Describing what you have done to support them on their journey? </w:t>
            </w:r>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lang w:val="en-GB" w:eastAsia="en-GB" w:bidi="en-GB"/>
              </w:rPr>
            </w:pPr>
            <w:sdt>
              <w:sdtPr>
                <w:id w:val="4"/>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r>
        <w:trPr>
          <w:trHeight w:val="832" w:hRule="atLeast"/>
        </w:trPr>
        <w:tc>
          <w:tcPr>
            <w:tcW w:w="6658" w:type="dxa"/>
            <w:tcBorders>
              <w:bottom w:val="single" w:sz="4" w:space="0" w:color="92CDDC"/>
            </w:tcBorders>
            <w:shd w:val="clear" w:color="auto" w:fill="DAEEF3"/>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Scottish Criminal Justice System Awareness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Awareness of the Scottish Criminal Justice System and the pastoral challenges within a prison setting. (Further reading and insight can be found through links detailed in job purpose.)</w:t>
            </w:r>
          </w:p>
        </w:tc>
        <w:tc>
          <w:tcPr>
            <w:tcW w:w="2409" w:type="dxa"/>
            <w:tcBorders>
              <w:bottom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lang w:val="en-GB" w:eastAsia="en-GB" w:bidi="en-GB"/>
              </w:rPr>
            </w:pPr>
            <w:sdt>
              <w:sdtPr>
                <w:id w:val="5"/>
                <w:dropDownList>
                  <w:listItem w:displayText="Essential" w:value="Essential"/>
                  <w:listItem w:displayText="Desirable" w:value="Desirable"/>
                </w:dropDownList>
              </w:sdtPr>
              <w:sdtContent>
                <w:r>
                  <w:rPr>
                    <w:rFonts w:ascii="Arial" w:hAnsi="Arial" w:eastAsia="Arial" w:cs="Arial"/>
                    <w:b/>
                    <w:bCs/>
                    <w:lang w:val="en-GB" w:eastAsia="en-GB" w:bidi="en-GB"/>
                  </w:rPr>
                  <w:t xml:space="preserve">Essential</w:t>
                </w:r>
              </w:sdtContent>
            </w:sdt>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none"/>
        </w:tblBorders>
        <w:tblLayout w:type="fixed"/>
        <w:tblCellMar>
          <w:top w:w="0" w:type="dxa"/>
          <w:left w:w="108" w:type="dxa"/>
          <w:bottom w:w="0" w:type="dxa"/>
          <w:right w:w="108" w:type="dxa"/>
        </w:tblCellMar>
      </w:tblPr>
      <w:tblGrid>
        <w:gridCol w:w="9067"/>
      </w:tblGrid>
      <w:tr>
        <w:trPr>
          <w:trHeight w:val="488" w:hRule="atLeast"/>
        </w:trPr>
        <w:tc>
          <w:tcPr>
            <w:tcW w:w="9067" w:type="dxa"/>
            <w:tcBorders>
              <w:top w:val="single" w:sz="4" w:space="0" w:color="92CDDC"/>
              <w:bottom w:val="single" w:sz="4" w:space="0" w:color="92CDDC"/>
            </w:tcBorders>
            <w:shd w:val="clear" w:color="auto" w:fill="F2F2F2"/>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b/>
                <w:bCs/>
                <w:lang w:val="en-GB" w:eastAsia="en-GB" w:bidi="en-GB"/>
              </w:rPr>
            </w:pPr>
            <w:r>
              <w:rPr>
                <w:rFonts w:ascii="Arial" w:hAnsi="Arial" w:eastAsia="Arial" w:cs="Arial"/>
                <w:b/>
                <w:bCs/>
                <w:lang w:val="en-GB" w:eastAsia="en-GB" w:bidi="en-GB"/>
              </w:rPr>
              <w:t xml:space="preserve">Behaviours</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Layout w:type="fixed"/>
        <w:tblCellMar>
          <w:top w:w="0" w:type="dxa"/>
          <w:left w:w="108" w:type="dxa"/>
          <w:bottom w:w="0" w:type="dxa"/>
          <w:right w:w="108" w:type="dxa"/>
        </w:tblCellMar>
      </w:tblPr>
      <w:tblGrid>
        <w:gridCol w:w="6658"/>
        <w:gridCol w:w="2409"/>
      </w:tblGrid>
      <w:tr>
        <w:trPr>
          <w:trHeight w:val="836" w:hRule="atLeast"/>
        </w:trPr>
        <w:tc>
          <w:tcPr>
            <w:tcW w:w="6658"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US" w:eastAsia="en-US" w:bidi="en-US"/>
              </w:rPr>
            </w:pPr>
            <w:sdt>
              <w:sdtPr>
                <w:id w:val="6"/>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Listen &amp; Communicate</w:t>
                </w:r>
              </w:sdtContent>
            </w:sdt>
          </w:p>
        </w:tc>
        <w:tc>
          <w:tcPr>
            <w:tcW w:w="2409" w:type="dxa"/>
            <w:tcBorders>
              <w:top w:val="single" w:sz="4" w:space="0" w:color="92CDDC"/>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b/>
                <w:bCs/>
                <w:lang w:val="en-GB" w:eastAsia="en-GB" w:bidi="en-GB"/>
              </w:rPr>
            </w:pPr>
            <w:sdt>
              <w:sdtPr>
                <w:id w:val="7"/>
                <w:dropDownList>
                  <w:listItem w:displayText="Essential" w:value="Essential"/>
                </w:dropDownList>
              </w:sdtPr>
              <w:sdtContent>
                <w:r>
                  <w:rPr>
                    <w:rFonts w:ascii="Arial" w:hAnsi="Arial" w:eastAsia="Arial" w:cs="Arial"/>
                    <w:b/>
                    <w:bCs/>
                    <w:lang w:val="en-GB" w:eastAsia="en-GB" w:bidi="en-GB"/>
                  </w:rPr>
                  <w:t xml:space="preserve">Essential</w:t>
                </w:r>
              </w:sdtContent>
            </w:sdt>
          </w:p>
        </w:tc>
      </w:tr>
      <w:tr>
        <w:trPr>
          <w:trHeight w:val="834" w:hRule="atLeast"/>
        </w:trPr>
        <w:tc>
          <w:tcPr>
            <w:tcW w:w="6658"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sdt>
              <w:sdtPr>
                <w:id w:val="8"/>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Relationships &amp; Collaboration</w:t>
                </w:r>
              </w:sdtContent>
            </w:sdt>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b/>
                <w:bCs/>
                <w:lang w:val="en-GB" w:eastAsia="en-GB" w:bidi="en-GB"/>
              </w:rPr>
            </w:pPr>
            <w:sdt>
              <w:sdtPr>
                <w:id w:val="9"/>
                <w:dropDownList>
                  <w:listItem w:displayText="Essential" w:value="Essential"/>
                </w:dropDownList>
              </w:sdtPr>
              <w:sdtContent>
                <w:r>
                  <w:rPr>
                    <w:rFonts w:ascii="Arial" w:hAnsi="Arial" w:eastAsia="Arial" w:cs="Arial"/>
                    <w:b/>
                    <w:bCs/>
                    <w:lang w:val="en-GB" w:eastAsia="en-GB" w:bidi="en-GB"/>
                  </w:rPr>
                  <w:t xml:space="preserve">Essential</w:t>
                </w:r>
              </w:sdtContent>
            </w:sdt>
          </w:p>
        </w:tc>
      </w:tr>
      <w:tr>
        <w:trPr>
          <w:trHeight w:val="846" w:hRule="atLeast"/>
        </w:trPr>
        <w:tc>
          <w:tcPr>
            <w:tcW w:w="6658" w:type="dxa"/>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sdt>
              <w:sdtPr>
                <w:id w:val="10"/>
                <w:dropDownList>
                  <w:listItem w:displayText="Relationships &amp; Collaboration" w:value="Relationships &amp; Collaboration"/>
                  <w:listItem w:displayText="Listen &amp; Communicate" w:value="Listen &amp; Communicate"/>
                  <w:listItem w:displayText="Support &amp; Motivate" w:value="Support &amp; Motivate"/>
                  <w:listItem w:displayText="Develop Ourselves &amp; Others" w:value="Develop Ourselves &amp; Others"/>
                  <w:listItem w:displayText="Accountability &amp; Initiative" w:value="Accountability &amp; Initiative"/>
                  <w:listItem w:displayText="Plan &amp; Organise" w:value="Plan &amp; Organise"/>
                  <w:listItem w:displayText="Solve Problems &amp; Make Decisions" w:value="Solve Problems &amp; Make Decisions"/>
                  <w:listItem w:displayText="Change &amp; Improve" w:value="Change &amp; Improve"/>
                </w:dropDownList>
              </w:sdtPr>
              <w:sdtContent>
                <w:r>
                  <w:rPr>
                    <w:rFonts w:ascii="Arial" w:hAnsi="Arial" w:eastAsia="Arial" w:cs="Arial"/>
                    <w:b/>
                    <w:bCs/>
                    <w:lang w:val="en-US" w:eastAsia="en-US" w:bidi="en-US"/>
                  </w:rPr>
                  <w:t xml:space="preserve">Solve Problems &amp; Make Decisions</w:t>
                </w:r>
              </w:sdtContent>
            </w:sdt>
          </w:p>
        </w:tc>
        <w:tc>
          <w:tcPr>
            <w:tcW w:w="240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after="120"/>
              <w:jc w:val="both"/>
              <w:rPr>
                <w:rFonts w:ascii="Arial" w:hAnsi="Arial" w:eastAsia="Arial" w:cs="Arial"/>
                <w:b/>
                <w:bCs/>
                <w:lang w:val="en-GB" w:eastAsia="en-GB" w:bidi="en-GB"/>
              </w:rPr>
            </w:pPr>
            <w:sdt>
              <w:sdtPr>
                <w:id w:val="11"/>
                <w:dropDownList>
                  <w:listItem w:displayText="Essential" w:value="Essential"/>
                </w:dropDownList>
              </w:sdtPr>
              <w:sdtContent>
                <w:r>
                  <w:rPr>
                    <w:rFonts w:ascii="Arial" w:hAnsi="Arial" w:eastAsia="Arial" w:cs="Arial"/>
                    <w:b/>
                    <w:bCs/>
                    <w:lang w:val="en-GB" w:eastAsia="en-GB" w:bidi="en-GB"/>
                  </w:rPr>
                  <w:t xml:space="preserve">Essential</w:t>
                </w:r>
              </w:sdtContent>
            </w:sdt>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4295"/>
          <w:sz w:val="24"/>
          <w:szCs w:val="24"/>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rPr>
          <w:rFonts w:ascii="Arial" w:hAnsi="Arial" w:eastAsia="Arial" w:cs="Arial"/>
          <w:b/>
          <w:bCs/>
          <w:color w:val="004295"/>
          <w:sz w:val="24"/>
          <w:szCs w:val="24"/>
          <w:lang w:val="en-GB" w:eastAsia="en-GB" w:bidi="en-GB"/>
        </w:rPr>
      </w:pPr>
      <w:r>
        <w:rPr>
          <w:rFonts w:ascii="Arial" w:hAnsi="Arial" w:eastAsia="Arial" w:cs="Arial"/>
          <w:b/>
          <w:bCs/>
          <w:color w:val="004295"/>
          <w:sz w:val="24"/>
          <w:szCs w:val="24"/>
          <w:lang w:val="en-GB" w:eastAsia="en-GB" w:bidi="en-GB"/>
        </w:rPr>
        <w:t xml:space="preserve">Selection Process Key Dates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4295"/>
          <w:sz w:val="24"/>
          <w:szCs w:val="24"/>
          <w:lang w:val="en-GB" w:eastAsia="en-GB" w:bidi="en-GB"/>
        </w:rPr>
      </w:pPr>
    </w:p>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2315"/>
        <w:gridCol w:w="2315"/>
        <w:gridCol w:w="2316"/>
      </w:tblGrid>
      <w:tr>
        <w:trPr>
          <w:trHeight w:val="580" w:hRule="atLeast"/>
        </w:trPr>
        <w:tc>
          <w:tcPr>
            <w:tcW w:w="2093"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Date Vacancy Closes for Applications</w:t>
            </w:r>
          </w:p>
        </w:tc>
        <w:tc>
          <w:tcPr>
            <w:tcW w:w="2315"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2"/>
                <w:date w:fullDate="2026-10-29T00:00:00Z">
                  <w:dateFormat w:val="dd/MM/yyyy"/>
                </w:date>
              </w:sdtPr>
              <w:sdtContent>
                <w:r>
                  <w:rPr>
                    <w:rFonts w:ascii="Arial" w:hAnsi="Arial" w:eastAsia="Arial" w:cs="Arial"/>
                    <w:sz w:val="22"/>
                    <w:szCs w:val="22"/>
                    <w:lang w:val="en-GB" w:eastAsia="en-GB" w:bidi="en-GB"/>
                  </w:rPr>
                  <w:t xml:space="preserve">29/10/2026</w:t>
                </w:r>
              </w:sdtContent>
            </w:sdt>
          </w:p>
        </w:tc>
        <w:tc>
          <w:tcPr>
            <w:tcW w:w="2315" w:type="dxa"/>
            <w:tcBorders>
              <w:bottom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Time Vacancy Closes for Applications</w:t>
            </w:r>
          </w:p>
        </w:tc>
        <w:tc>
          <w:tcPr>
            <w:tcW w:w="2316" w:type="dxa"/>
            <w:tcBorders>
              <w:bottom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12:00 </w:t>
            </w:r>
          </w:p>
        </w:tc>
      </w:tr>
    </w:tbl>
    <w:tbl>
      <w:tblPr>
        <w:tblW w:w="0" w:type="auto"/>
        <w:jc w:val="left"/>
        <w:tblInd w:w="0" w:type="dxa"/>
        <w:tblBorders>
          <w:top w:val="single" w:sz="4" w:space="0" w:color="92CDDC"/>
          <w:left w:val="single" w:sz="4" w:space="0" w:color="92CDDC"/>
          <w:bottom w:val="single" w:sz="4" w:space="0" w:color="92CDDC"/>
          <w:right w:val="single" w:sz="4" w:space="0" w:color="92CDDC"/>
          <w:insideH w:val="none"/>
          <w:insideV w:val="single" w:sz="4" w:space="0" w:color="92CDDC"/>
        </w:tblBorders>
        <w:tblLayout w:type="fixed"/>
        <w:tblCellMar>
          <w:top w:w="0" w:type="dxa"/>
          <w:left w:w="108" w:type="dxa"/>
          <w:bottom w:w="0" w:type="dxa"/>
          <w:right w:w="108" w:type="dxa"/>
        </w:tblCellMar>
      </w:tblPr>
      <w:tblGrid>
        <w:gridCol w:w="2093"/>
        <w:gridCol w:w="6946"/>
      </w:tblGrid>
      <w:tr>
        <w:trPr>
          <w:trHeight w:val="688" w:hRule="atLeast"/>
        </w:trPr>
        <w:tc>
          <w:tcPr>
            <w:tcW w:w="2093" w:type="dxa"/>
            <w:tcBorders>
              <w:top w:val="single" w:sz="4" w:space="0" w:color="92CDDC"/>
            </w:tcBorders>
            <w:shd w:val="clear" w:color="auto" w:fill="DAEEF3"/>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GB" w:eastAsia="en-GB" w:bidi="en-GB"/>
              </w:rPr>
            </w:pPr>
            <w:r>
              <w:rPr>
                <w:rFonts w:ascii="Arial" w:hAnsi="Arial" w:eastAsia="Arial" w:cs="Arial"/>
                <w:b/>
                <w:bCs/>
                <w:sz w:val="22"/>
                <w:szCs w:val="22"/>
                <w:lang w:val="en-GB" w:eastAsia="en-GB" w:bidi="en-GB"/>
              </w:rPr>
              <w:t xml:space="preserve">Interview/Presentaion Date*</w:t>
            </w:r>
          </w:p>
        </w:tc>
        <w:tc>
          <w:tcPr>
            <w:tcW w:w="6946" w:type="dxa"/>
            <w:tcBorders>
              <w:top w:val="single" w:sz="4" w:space="0" w:color="92CDDC"/>
            </w:tcBorders>
            <w:shd w:val="clear" w:color="auto" w:fill="auto"/>
            <w:vAlign w:val="center"/>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22"/>
                <w:szCs w:val="22"/>
                <w:lang w:val="en-GB" w:eastAsia="en-GB" w:bidi="en-GB"/>
              </w:rPr>
            </w:pPr>
            <w:sdt>
              <w:sdtPr>
                <w:id w:val="13"/>
                <w:date>
                  <w:dateFormat w:val="dd MMMM yyyy"/>
                </w:date>
              </w:sdtPr>
              <w:sdtContent>
                <w:r>
                  <w:rPr>
                    <w:rFonts w:ascii="Arial" w:hAnsi="Arial" w:eastAsia="Arial" w:cs="Arial"/>
                    <w:sz w:val="22"/>
                    <w:szCs w:val="22"/>
                    <w:lang w:val="en-GB" w:eastAsia="en-GB" w:bidi="en-GB"/>
                  </w:rPr>
                  <w:t xml:space="preserve">TBC </w:t>
                </w:r>
              </w:sdtContent>
            </w:sdt>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r>
        <w:rPr>
          <w:rFonts w:ascii="Arial" w:hAnsi="Arial" w:eastAsia="Arial" w:cs="Arial"/>
          <w:b/>
          <w:bCs/>
          <w:lang w:val="en-GB" w:eastAsia="en-GB" w:bidi="en-GB"/>
        </w:rPr>
        <w:t xml:space="preserve">*please note interview dates are subject to change.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sz w:val="22"/>
          <w:szCs w:val="22"/>
          <w:lang w:val="en-US" w:eastAsia="en-US" w:bidi="en-US"/>
        </w:rPr>
      </w:pPr>
      <w:r>
        <w:rPr>
          <w:rFonts w:ascii="Arial" w:hAnsi="Arial" w:eastAsia="Arial" w:cs="Arial"/>
          <w:b/>
          <w:bCs/>
          <w:color w:val="004295"/>
          <w:sz w:val="24"/>
          <w:szCs w:val="24"/>
          <w:lang w:val="en-US" w:eastAsia="en-US" w:bidi="en-US"/>
        </w:rPr>
        <w:t xml:space="preserve">Reasonable Adjustments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We recognise that people may have access needs or require adjustments to help them perform at their best. We refer to these as reasonable adjustments.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If you have a disability, whether visible or non‑visible, or any access needs that would support your full participation in the selection process, please contact Lauren.Bichard at Lauren.Bichard@prisons.gov.scot to discuss how we can best support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Examples of reasonable adjustments we have provided in the past include: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Offering additional time during interviews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Adjusting how interview questions are asked</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Scheduling interviews at a time that works best for you</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Breaking multi‑stage questions into smaller steps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Providing written materials in alternative formats (e.g., different font, colour, or text size)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Sharing extra information about what to expect during the selection process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eastAsia="Arial" w:cs="Arial"/>
          <w:sz w:val="22"/>
          <w:szCs w:val="22"/>
          <w:lang w:val="en-GB" w:eastAsia="en-GB" w:bidi="en-GB"/>
        </w:rPr>
      </w:pPr>
      <w:r>
        <w:rPr>
          <w:rFonts w:ascii="Arial" w:hAnsi="Arial" w:eastAsia="Arial" w:cs="Arial"/>
          <w:sz w:val="22"/>
          <w:szCs w:val="22"/>
          <w:lang w:val="en-GB" w:eastAsia="en-GB" w:bidi="en-GB"/>
        </w:rPr>
        <w:t xml:space="preserve">Printing resources on paper in a preferred colour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sz w:val="22"/>
          <w:szCs w:val="22"/>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eastAsia="Arial" w:cs="Arial"/>
          <w:sz w:val="22"/>
          <w:szCs w:val="22"/>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ind w:left="720"/>
        <w:jc w:val="both"/>
        <w:rPr>
          <w:rFonts w:ascii="Arial" w:hAnsi="Arial" w:eastAsia="Arial" w:cs="Arial"/>
          <w:sz w:val="22"/>
          <w:szCs w:val="22"/>
          <w:lang w:val="en-US" w:eastAsia="en-US" w:bidi="en-US"/>
        </w:rPr>
      </w:pPr>
      <w:r>
        <w:drawing>
          <wp:anchor distT="0" distB="0" distL="114300" distR="114300" simplePos="0" relativeHeight="251660287" behindDoc="0" locked="0" layoutInCell="1" hidden="0" allowOverlap="1">
            <wp:simplePos x="0" y="0"/>
            <wp:positionH relativeFrom="column">
              <wp:posOffset>4638675</wp:posOffset>
            </wp:positionH>
            <wp:positionV relativeFrom="paragraph">
              <wp:posOffset>14605</wp:posOffset>
            </wp:positionV>
            <wp:extent cx="1323975" cy="571500"/>
            <wp:wrapSquare wrapText="bothSides"/>
            <wp:docPr id="5" name="Picture 2"/>
            <a:graphic xmlns:a="http://schemas.openxmlformats.org/drawingml/2006/main">
              <a:graphicData uri="http://schemas.openxmlformats.org/drawingml/2006/picture">
                <pic:pic xmlns:pic="http://schemas.openxmlformats.org/drawingml/2006/picture">
                  <pic:nvPicPr>
                    <pic:cNvPr id="0" name="Image 5"/>
                    <pic:cNvPicPr/>
                  </pic:nvPicPr>
                  <pic:blipFill>
                    <a:blip r:embed="rId00008"/>
                    <a:stretch>
                      <a:fillRect/>
                    </a:stretch>
                  </pic:blipFill>
                  <pic:spPr>
                    <a:xfrm>
                      <a:off x="0" y="0"/>
                      <a:ext cx="1323975" cy="571500"/>
                    </a:xfrm>
                    <a:prstGeom prst="rect">
                      <a:avLst/>
                    </a:prstGeom>
                  </pic:spPr>
                </pic:pic>
              </a:graphicData>
            </a:graphic>
          </wp:anchor>
        </w:drawing>
      </w:r>
      <w:r>
        <w:drawing>
          <wp:anchor distT="0" distB="0" distL="114300" distR="114300" simplePos="0" relativeHeight="251664383" behindDoc="0" locked="0" layoutInCell="1" hidden="0" allowOverlap="1">
            <wp:simplePos x="0" y="0"/>
            <wp:positionH relativeFrom="column">
              <wp:posOffset>2286000</wp:posOffset>
            </wp:positionH>
            <wp:positionV relativeFrom="paragraph">
              <wp:posOffset>52070</wp:posOffset>
            </wp:positionV>
            <wp:extent cx="676275" cy="561975"/>
            <wp:wrapSquare wrapText="bothSides"/>
            <wp:docPr id="6" name="_tx_id_1_Picture 1"/>
            <a:graphic xmlns:a="http://schemas.openxmlformats.org/drawingml/2006/main">
              <a:graphicData uri="http://schemas.openxmlformats.org/drawingml/2006/picture">
                <pic:pic xmlns:pic="http://schemas.openxmlformats.org/drawingml/2006/picture">
                  <pic:nvPicPr>
                    <pic:cNvPr id="0" name="Image 6"/>
                    <pic:cNvPicPr/>
                  </pic:nvPicPr>
                  <pic:blipFill>
                    <a:blip r:embed="rId00009"/>
                    <a:stretch>
                      <a:fillRect/>
                    </a:stretch>
                  </pic:blipFill>
                  <pic:spPr>
                    <a:xfrm>
                      <a:off x="0" y="0"/>
                      <a:ext cx="676275" cy="561975"/>
                    </a:xfrm>
                    <a:prstGeom prst="rect">
                      <a:avLst/>
                    </a:prstGeom>
                  </pic:spPr>
                </pic:pic>
              </a:graphicData>
            </a:graphic>
          </wp:anchor>
        </w:drawing>
      </w:r>
      <w:r>
        <w:drawing>
          <wp:anchor distT="0" distB="0" distL="114300" distR="114300" simplePos="0" relativeHeight="251665407" behindDoc="1" locked="0" layoutInCell="1" hidden="0" allowOverlap="1">
            <wp:simplePos x="0" y="0"/>
            <wp:positionH relativeFrom="column">
              <wp:posOffset>1000125</wp:posOffset>
            </wp:positionH>
            <wp:positionV relativeFrom="paragraph">
              <wp:posOffset>95250</wp:posOffset>
            </wp:positionV>
            <wp:extent cx="923925" cy="485775"/>
            <wp:wrapNone/>
            <wp:docPr id="7" name="Picture 5"/>
            <a:graphic xmlns:a="http://schemas.openxmlformats.org/drawingml/2006/main">
              <a:graphicData uri="http://schemas.openxmlformats.org/drawingml/2006/picture">
                <pic:pic xmlns:pic="http://schemas.openxmlformats.org/drawingml/2006/picture">
                  <pic:nvPicPr>
                    <pic:cNvPr id="0" name="Image 7"/>
                    <pic:cNvPicPr/>
                  </pic:nvPicPr>
                  <pic:blipFill>
                    <a:blip r:embed="rId00010"/>
                    <a:stretch>
                      <a:fillRect/>
                    </a:stretch>
                  </pic:blipFill>
                  <pic:spPr>
                    <a:xfrm>
                      <a:off x="0" y="0"/>
                      <a:ext cx="923925" cy="485775"/>
                    </a:xfrm>
                    <a:prstGeom prst="rect">
                      <a:avLst/>
                    </a:prstGeom>
                  </pic:spPr>
                </pic:pic>
              </a:graphicData>
            </a:graphic>
          </wp:anchor>
        </w:drawing>
      </w:r>
      <w:r>
        <w:drawing>
          <wp:anchor distT="0" distB="0" distL="114300" distR="114300" simplePos="0" relativeHeight="251659263" behindDoc="0" locked="0" layoutInCell="1" hidden="0" allowOverlap="1">
            <wp:simplePos x="0" y="0"/>
            <wp:positionH relativeFrom="column">
              <wp:posOffset>0</wp:posOffset>
            </wp:positionH>
            <wp:positionV relativeFrom="paragraph">
              <wp:posOffset>81915</wp:posOffset>
            </wp:positionV>
            <wp:extent cx="762000" cy="552450"/>
            <wp:wrapSquare wrapText="bothSides"/>
            <wp:docPr id="8" name="Picture 8"/>
            <a:graphic xmlns:a="http://schemas.openxmlformats.org/drawingml/2006/main">
              <a:graphicData uri="http://schemas.openxmlformats.org/drawingml/2006/picture">
                <pic:pic xmlns:pic="http://schemas.openxmlformats.org/drawingml/2006/picture">
                  <pic:nvPicPr>
                    <pic:cNvPr id="0" name="Image 8"/>
                    <pic:cNvPicPr/>
                  </pic:nvPicPr>
                  <pic:blipFill>
                    <a:blip r:embed="rId00011"/>
                    <a:stretch>
                      <a:fillRect/>
                    </a:stretch>
                  </pic:blipFill>
                  <pic:spPr>
                    <a:xfrm>
                      <a:off x="0" y="0"/>
                      <a:ext cx="762000" cy="552450"/>
                    </a:xfrm>
                    <a:prstGeom prst="rect">
                      <a:avLst/>
                    </a:prstGeom>
                  </pic:spPr>
                </pic:pic>
              </a:graphicData>
            </a:graphic>
          </wp:anchor>
        </w:drawing>
      </w:r>
      <w:r>
        <w:drawing>
          <wp:anchor distT="0" distB="0" distL="114300" distR="114300" simplePos="0" relativeHeight="251663359" behindDoc="0" locked="0" layoutInCell="1" hidden="0" allowOverlap="1">
            <wp:simplePos x="0" y="0"/>
            <wp:positionH relativeFrom="column">
              <wp:posOffset>3359150</wp:posOffset>
            </wp:positionH>
            <wp:positionV relativeFrom="paragraph">
              <wp:posOffset>80010</wp:posOffset>
            </wp:positionV>
            <wp:extent cx="857250" cy="523875"/>
            <wp:wrapSquare wrapText="bothSides"/>
            <wp:docPr id="9" name="Picture 7"/>
            <a:graphic xmlns:a="http://schemas.openxmlformats.org/drawingml/2006/main">
              <a:graphicData uri="http://schemas.openxmlformats.org/drawingml/2006/picture">
                <pic:pic xmlns:pic="http://schemas.openxmlformats.org/drawingml/2006/picture">
                  <pic:nvPicPr>
                    <pic:cNvPr id="0" name="Image 9"/>
                    <pic:cNvPicPr/>
                  </pic:nvPicPr>
                  <pic:blipFill>
                    <a:blip r:embed="rId00012"/>
                    <a:stretch>
                      <a:fillRect/>
                    </a:stretch>
                  </pic:blipFill>
                  <pic:spPr>
                    <a:xfrm>
                      <a:off x="0" y="0"/>
                      <a:ext cx="857250" cy="523875"/>
                    </a:xfrm>
                    <a:prstGeom prst="rect">
                      <a:avLst/>
                    </a:prstGeom>
                  </pic:spPr>
                </pic:pic>
              </a:graphicData>
            </a:graphic>
          </wp:anchor>
        </w:drawing>
      </w:r>
    </w:p>
    <w:sectPr>
      <w:headerReference w:type="default" r:id="rId00013"/>
      <w:footerReference w:type="default" r:id="rId00014"/>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Trebuchet MS">
    <w:panose1 w:val="020B0603020202020204"/>
    <w:charset w:val="00"/>
    <w:family w:val="swiss"/>
    <w:pitch w:val="variable"/>
    <w:sig w:usb0="00000687" w:usb1="00000000" w:usb2="00000000" w:usb3="00000000" w:csb0="2000009F" w:csb1="00000000"/>
  </w:font>
  <w:font w:name="Calibri Light">
    <w:panose1 w:val="020F0302020204030204"/>
    <w:charset w:val="00"/>
    <w:family w:val="swiss"/>
    <w:pitch w:val="variable"/>
    <w:sig w:usb0="E4002EFF" w:usb1="C000247B" w:usb2="00000009" w:usb3="00000000" w:csb0="200001FF" w:csb1="00000000"/>
  </w:font>
  <w:font w:name="Segoe UI">
    <w:panose1 w:val="020B0502040204020203"/>
    <w:charset w:val="00"/>
    <w:family w:val="swiss"/>
    <w:pitch w:val="variable"/>
    <w:sig w:usb0="E4002EFF" w:usb1="C000E47F" w:usb2="00000009" w:usb3="00000000" w:csb0="200001FF" w:csb1="00000000"/>
  </w:font>
  <w:font w:name="Calibri">
    <w:panose1 w:val="020F0502020204030204"/>
    <w:charset w:val="00"/>
    <w:family w:val="swiss"/>
    <w:pitch w:val="variable"/>
    <w:sig w:usb0="E4002EFF" w:usb1="C000247B" w:usb2="00000009" w:usb3="00000000" w:csb0="200001FF" w:csb1="0000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Footer"/>
      <w:rPr>
        <w:lang w:val="en-GB" w:eastAsia="en-GB" w:bidi="en-GB"/>
      </w:rPr>
    </w:pPr>
    <w:r>
      <w:rPr>
        <w:lang w:val="en-GB" w:eastAsia="en-GB" w:bidi="en-GB"/>
      </w:rPr>
      <w:t xml:space="preserve">V1 – March 2026</w:t>
    </w:r>
  </w:p>
  <w:p>
    <w:pPr>
      <w:pStyle w:val="Footer"/>
      <w:rPr>
        <w:lang w:val="en-GB" w:eastAsia="en-GB" w:bidi="en-GB"/>
      </w:rPr>
    </w:pP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Header"/>
      <w:rPr>
        <w:lang w:val="en-GB" w:eastAsia="en-GB" w:bidi="en-GB"/>
      </w:rPr>
    </w:pPr>
    <w:r>
      <w:pict>
        <v:shape id="MSIPCMae7f439889f420187b28b342" coordsize="21600,21600" o:spt="202" path="m,l,21600r21600,l21600,xe" fillcolor="#FFFFFF" stroked="f" strokeweight="0" style="width:595.3pt;height:21.5pt;position:absolute;margin-left:0pt;margin-top:15pt;z-index:251659264;mso-wrap-distance-right:114300;mso-wrap-distance-left:114300;mso-position-horizontal-relative:page;mso-position-vertical-relative:page;">
          <v:fill opacity="0"/>
          <v:stroke joinstyle="miter"/>
          <v:path gradientshapeok="t" o:connecttype="rect"/>
          <v:textbox inset="20pt,0pt,7.2pt,0pt">
            <w:txbxContent>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eastAsia="Calibri" w:cs="Calibri"/>
                    <w:color w:val="000000"/>
                    <w:sz w:val="24"/>
                    <w:szCs w:val="24"/>
                    <w:lang w:val="en-GB" w:eastAsia="en-GB" w:bidi="en-GB"/>
                  </w:rPr>
                </w:pPr>
                <w:r>
                  <w:rPr>
                    <w:rFonts w:ascii="Calibri" w:hAnsi="Calibri" w:eastAsia="Calibri" w:cs="Calibri"/>
                    <w:color w:val="000000"/>
                    <w:sz w:val="24"/>
                    <w:szCs w:val="24"/>
                    <w:lang w:val="en-GB" w:eastAsia="en-GB" w:bidi="en-GB"/>
                  </w:rPr>
                  <w:t xml:space="preserve">OFFICIAL</w:t>
                </w:r>
              </w:p>
            </w:txbxContent>
          </v:textbox>
          <w10:wrap type="none"/>
        </v:shape>
      </w:pict>
    </w: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rebuchet MS" w:hAnsi="Trebuchet MS" w:eastAsia="Trebuchet MS" w:cs="Trebuchet MS"/>
      <w:b w:val="off"/>
      <w:bCs w:val="off"/>
      <w:i w:val="off"/>
      <w:iCs w:val="off"/>
      <w:caps w:val="off"/>
      <w:smallCaps w:val="off"/>
      <w:strike w:val="off"/>
      <w:color w:val="auto"/>
      <w:spacing w:val="0"/>
      <w:w w:val="100"/>
      <w:position w:val="0"/>
      <w:sz w:val="20"/>
      <w:szCs w:val="20"/>
      <w:shd w:val="clear" w:color="auto" w:fill="auto"/>
      <w:vertAlign w:val="baseline"/>
      <w:rtl w:val="off"/>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paragraph" w:styleId="Heading1">
    <w:name w:val="heading 1"/>
    <w:basedOn w:val="Normal"/>
    <w:next w:val="Normal"/>
    <w:qFormat/>
    <w:pPr>
      <w:keepNext/>
      <w:keepLines/>
      <w:spacing w:before="240"/>
      <w:outlineLvl w:val="0"/>
    </w:pPr>
    <w:rPr>
      <w:rFonts w:ascii="Calibri Light" w:hAnsi="Calibri Light" w:eastAsia="Calibri Light" w:cs="Calibri Light"/>
      <w:color w:val="2E75B5"/>
      <w:sz w:val="32"/>
      <w:szCs w:val="32"/>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CommentText">
    <w:name w:val="annotation text"/>
    <w:basedOn w:val="Normal"/>
    <w:next w:val="CommentText"/>
    <w:qFormat/>
    <w:pPr/>
    <w:rPr>
      <w:lang w:val="en-GB" w:eastAsia="en-GB" w:bidi="en-GB"/>
    </w:rPr>
  </w:style>
  <w:style w:type="paragraph" w:styleId="CommentSubject">
    <w:name w:val="annotation subject"/>
    <w:basedOn w:val="CommentText"/>
    <w:next w:val="CommentText"/>
    <w:qFormat/>
    <w:pPr/>
    <w:rPr>
      <w:b/>
      <w:bCs/>
      <w:lang w:val="en-GB" w:eastAsia="en-GB" w:bidi="en-GB"/>
    </w:rPr>
  </w:style>
  <w:style w:type="paragraph" w:styleId="BalloonText">
    <w:name w:val="Balloon Text"/>
    <w:basedOn w:val="Normal"/>
    <w:next w:val="BalloonText"/>
    <w:qFormat/>
    <w:pPr/>
    <w:rPr>
      <w:rFonts w:ascii="Segoe UI" w:hAnsi="Segoe UI" w:eastAsia="Segoe UI" w:cs="Segoe UI"/>
      <w:sz w:val="18"/>
      <w:szCs w:val="18"/>
      <w:lang w:val="en-GB" w:eastAsia="en-GB" w:bidi="en-GB"/>
    </w:rPr>
  </w:style>
  <w:style w:type="character" w:styleId="CommentReference">
    <w:name w:val="annotation reference"/>
    <w:qFormat/>
    <w:rPr>
      <w:sz w:val="16"/>
      <w:szCs w:val="16"/>
      <w:rtl w:val="off"/>
    </w:rPr>
  </w:style>
  <w:style w:type="character" w:styleId="Comment Text Char" w:customStyle="1">
    <w:name w:val="Comment Text Char"/>
    <w:qFormat/>
    <w:rPr>
      <w:rFonts w:ascii="Trebuchet MS" w:hAnsi="Trebuchet MS" w:eastAsia="Trebuchet MS" w:cs="Trebuchet MS"/>
      <w:sz w:val="20"/>
      <w:szCs w:val="20"/>
      <w:rtl w:val="off"/>
      <w:lang w:val="en-GB" w:eastAsia="en-GB" w:bidi="en-GB"/>
    </w:rPr>
  </w:style>
  <w:style w:type="character" w:styleId="Comment Subject Char" w:customStyle="1">
    <w:name w:val="Comment Subject Char"/>
    <w:basedOn w:val="Comment Text Char"/>
    <w:qFormat/>
    <w:rPr>
      <w:rFonts w:ascii="Trebuchet MS" w:hAnsi="Trebuchet MS" w:eastAsia="Trebuchet MS" w:cs="Trebuchet MS"/>
      <w:b/>
      <w:bCs/>
      <w:sz w:val="20"/>
      <w:szCs w:val="20"/>
      <w:lang w:val="en-GB" w:eastAsia="en-GB" w:bidi="en-GB"/>
    </w:rPr>
  </w:style>
  <w:style w:type="character" w:styleId="Balloon Text Char" w:customStyle="1">
    <w:name w:val="Balloon Text Char"/>
    <w:qFormat/>
    <w:rPr>
      <w:rFonts w:ascii="Segoe UI" w:hAnsi="Segoe UI" w:eastAsia="Segoe UI" w:cs="Segoe UI"/>
      <w:sz w:val="18"/>
      <w:szCs w:val="18"/>
      <w:rtl w:val="off"/>
      <w:lang w:val="en-GB" w:eastAsia="en-GB" w:bidi="en-GB"/>
    </w:rPr>
  </w:style>
  <w:style w:type="character" w:styleId="Hyperlink">
    <w:name w:val="Hyperlink"/>
    <w:qFormat/>
    <w:rPr>
      <w:color w:val="0563C1"/>
      <w:u w:val="single"/>
      <w:rtl w:val="off"/>
    </w:rPr>
  </w:style>
  <w:style w:type="character" w:styleId="FollowedHyperlink">
    <w:name w:val="FollowedHyperlink"/>
    <w:qFormat/>
    <w:rPr>
      <w:color w:val="954F72"/>
      <w:u w:val="single"/>
      <w:rtl w:val="off"/>
    </w:rPr>
  </w:style>
  <w:style w:type="character" w:styleId="PlaceholderText">
    <w:name w:val="Placeholder Text"/>
    <w:qFormat/>
    <w:rPr>
      <w:color w:val="808080"/>
      <w:rtl w:val="off"/>
    </w:rPr>
  </w:style>
  <w:style w:type="character" w:styleId="Header Char" w:customStyle="1">
    <w:name w:val="Header Char"/>
    <w:qFormat/>
    <w:rPr>
      <w:rFonts w:ascii="Trebuchet MS" w:hAnsi="Trebuchet MS" w:eastAsia="Trebuchet MS" w:cs="Trebuchet MS"/>
      <w:sz w:val="20"/>
      <w:szCs w:val="20"/>
      <w:rtl w:val="off"/>
      <w:lang w:val="en-GB" w:eastAsia="en-GB" w:bidi="en-GB"/>
    </w:rPr>
  </w:style>
  <w:style w:type="character" w:styleId="Footer Char" w:customStyle="1">
    <w:name w:val="Footer Char"/>
    <w:qFormat/>
    <w:rPr>
      <w:rFonts w:ascii="Trebuchet MS" w:hAnsi="Trebuchet MS" w:eastAsia="Trebuchet MS" w:cs="Trebuchet MS"/>
      <w:sz w:val="20"/>
      <w:szCs w:val="20"/>
      <w:rtl w:val="off"/>
      <w:lang w:val="en-GB" w:eastAsia="en-GB" w:bidi="en-GB"/>
    </w:rPr>
  </w:style>
  <w:style w:type="character" w:styleId="Heading 1 Char" w:customStyle="1">
    <w:name w:val="Heading 1 Char"/>
    <w:qFormat/>
    <w:rPr>
      <w:rFonts w:ascii="Calibri Light" w:hAnsi="Calibri Light" w:eastAsia="Calibri Light" w:cs="Calibri Light"/>
      <w:color w:val="2E75B5"/>
      <w:sz w:val="32"/>
      <w:szCs w:val="32"/>
      <w:rtl w:val="off"/>
      <w:lang w:val="en-GB" w:eastAsia="en-GB" w:bidi="en-GB"/>
    </w:rPr>
  </w:style>
  <w:style w:type="character" w:styleId="Strong">
    <w:name w:val="Strong"/>
    <w:qFormat/>
    <w:rPr>
      <w:b/>
      <w:bCs/>
      <w:rtl w:val="off"/>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Calibri" w:hAnsi="Calibri" w:eastAsia="Calibri" w:cs="Calibri"/>
      <w:sz w:val="22"/>
      <w:szCs w:val="22"/>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13" Type="http://schemas.openxmlformats.org/officeDocument/2006/relationships/header" Target="header0001.xml"/>
	<Relationship Id="rId00014" Type="http://schemas.openxmlformats.org/officeDocument/2006/relationships/footer" Target="footer0001.xml"/>
	<Relationship Id="rId00006" Type="http://schemas.openxmlformats.org/officeDocument/2006/relationships/image" Target="media/image0001.jpg"/>
	<Relationship Id="rId00007" Type="http://schemas.openxmlformats.org/officeDocument/2006/relationships/image" Target="media/image0002.emf"/>
	<Relationship Id="rId00008" Type="http://schemas.openxmlformats.org/officeDocument/2006/relationships/image" Target="media/image0003.jpg"/>
	<Relationship Id="rId00009" Type="http://schemas.openxmlformats.org/officeDocument/2006/relationships/image" Target="media/image0004.jpg"/>
	<Relationship Id="rId00010" Type="http://schemas.openxmlformats.org/officeDocument/2006/relationships/image" Target="media/image0005.jpg"/>
	<Relationship Id="rId00011" Type="http://schemas.openxmlformats.org/officeDocument/2006/relationships/image" Target="media/image0006.jpg"/>
	<Relationship Id="rId00012" Type="http://schemas.openxmlformats.org/officeDocument/2006/relationships/image" Target="media/image0007.png"/>
	<Relationship Id="rId00015" Type="http://schemas.openxmlformats.org/officeDocument/2006/relationships/numbering" Target="numbering.xml"/>
	<Relationship Id="rId00016" Type="http://schemas.openxmlformats.org/officeDocument/2006/relationships/fontTable" Target="fontTable.xml"/>
	<Relationship Id="rId000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Selection Information &amp; Timeline</dc:title>
  <cp:keywords>Policy; HumanResources; HR</cp:keywords>
  <dc:creator>Claire Neary</dc:creator>
  <dcterms:created xsi:type="dcterms:W3CDTF">2026-09-18T08:43:00Z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45a5628-45e9-4ab3-9be1-66b8fee5ba00_ContentBits">
    <vt:lpwstr>3</vt:lpwstr>
  </property>
  <property fmtid="{D5CDD505-2E9C-101B-9397-08002B2CF9AE}" pid="3" name="MSIP_Label_345a5628-45e9-4ab3-9be1-66b8fee5ba00_SetDate">
    <vt:lpwstr>2022-11-23T16:53:43Z</vt:lpwstr>
  </property>
  <property fmtid="{D5CDD505-2E9C-101B-9397-08002B2CF9AE}" pid="4" name="Order">
    <vt:r8>1934700</vt:r8>
  </property>
  <property fmtid="{D5CDD505-2E9C-101B-9397-08002B2CF9AE}" pid="5" name="MSIP_Label_345a5628-45e9-4ab3-9be1-66b8fee5ba00_Name">
    <vt:lpwstr>Official</vt:lpwstr>
  </property>
  <property fmtid="{D5CDD505-2E9C-101B-9397-08002B2CF9AE}" pid="6" name="MSIP_Label_345a5628-45e9-4ab3-9be1-66b8fee5ba00_ActionId">
    <vt:lpwstr>27f627c1-1dd5-47ff-85f8-bc6c20266a7c</vt:lpwstr>
  </property>
  <property fmtid="{D5CDD505-2E9C-101B-9397-08002B2CF9AE}" pid="7" name="MSIP_Label_345a5628-45e9-4ab3-9be1-66b8fee5ba00_Enabled">
    <vt:lpwstr>true</vt:lpwstr>
  </property>
  <property fmtid="{D5CDD505-2E9C-101B-9397-08002B2CF9AE}" pid="8" name="TaxKeyword">
    <vt:lpwstr>16;#HumanResources|4d12bdfc-b4e0-423d-bf8a-57bd362b7aec;#15;#HR|aad7a0a4-3f3d-4995-b85d-7931e251579c;#14;#Policy|c03ed4bb-ad84-49a6-bfbe-1721d9a8c699</vt:lpwstr>
  </property>
  <property fmtid="{D5CDD505-2E9C-101B-9397-08002B2CF9AE}" pid="9" name="MSIP_Label_345a5628-45e9-4ab3-9be1-66b8fee5ba00_SiteId">
    <vt:lpwstr>72e022f2-1d7b-48a2-872d-a0ff35f57a8d</vt:lpwstr>
  </property>
  <property fmtid="{D5CDD505-2E9C-101B-9397-08002B2CF9AE}" pid="10" name="ContentTypeId">
    <vt:lpwstr>0x010100EDE3D0010653EB42B817C4224FB8382A</vt:lpwstr>
  </property>
  <property fmtid="{D5CDD505-2E9C-101B-9397-08002B2CF9AE}" pid="11" name="MSIP_Label_345a5628-45e9-4ab3-9be1-66b8fee5ba00_Method">
    <vt:lpwstr>Standard</vt:lpwstr>
  </property>
</Properties>
</file>