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heic" ContentType="image/heic"/>
  <Default Extension="svg" ContentType="image/svg+xml"/>
  <Default Extension="bin" ContentType="application/vnd.openxmlformats-officedocument.oleObject"/>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header0001.xml" ContentType="application/vnd.openxmlformats-officedocument.wordprocessingml.header+xml"/>
  <Override PartName="/word/footer000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 Id="rId00002" Type="http://schemas.openxmlformats.org/package/2006/relationships/metadata/core-properties" Target="docProps/core.xml"/>
	<Relationship Id="rId00003" Type="http://schemas.openxmlformats.org/officeDocument/2006/relationships/extended-properties" Target="docProps/app.xml"/>
	<Relationship Id="rId00004" Type="http://schemas.openxmlformats.org/officeDocument/2006/relationships/custom-properties" Target="docProps/custom.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pict>
          <v:shape id="Text Box 3" coordsize="21600,21600" o:spt="202" path="m,l,21600r21600,l21600,xe" fillcolor="#FFFFFF" stroked="f" strokeweight="0" style="width:277.5pt;height:63.75pt;position:absolute;margin-left:0.3pt;margin-top:9.55pt;z-index:251660287;mso-wrap-distance-top:45720;mso-wrap-distance-right:114300;mso-wrap-distance-bottom:45720;mso-wrap-distance-left:114300;">
            <v:stroke joinstyle="miter"/>
            <v:path gradientshapeok="t" o:connecttype="rect"/>
            <v:textbox inset="7.2pt,3.6pt,7.2pt,3.6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UNLOCKING POTENTIAL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color w:val="004295"/>
                      <w:sz w:val="40"/>
                      <w:szCs w:val="40"/>
                      <w:lang w:val="en-GB" w:eastAsia="en-GB" w:bidi="en-GB"/>
                    </w:rPr>
                  </w:pPr>
                  <w:r>
                    <w:rPr>
                      <w:rFonts w:ascii="Arial" w:hAnsi="Arial" w:eastAsia="Arial" w:cs="Arial"/>
                      <w:color w:val="004295"/>
                      <w:sz w:val="40"/>
                      <w:szCs w:val="40"/>
                      <w:lang w:val="en-GB" w:eastAsia="en-GB" w:bidi="en-GB"/>
                    </w:rPr>
                    <w:t xml:space="preserve">TRANSFORMING LIVES</w:t>
                  </w:r>
                </w:p>
              </w:txbxContent>
            </v:textbox>
            <w10:wrap type="square"/>
          </v:shape>
        </w:pic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right"/>
        <w:rPr>
          <w:rFonts w:ascii="Arial" w:hAnsi="Arial" w:eastAsia="Arial" w:cs="Arial"/>
          <w:lang w:val="en-GB" w:eastAsia="en-GB" w:bidi="en-GB"/>
        </w:rPr>
      </w:pPr>
      <w:r>
        <w:rPr>
          <w:rFonts w:ascii="Arial" w:hAnsi="Arial" w:eastAsia="Arial" w:cs="Arial"/>
          <w:lang w:val="en-GB" w:eastAsia="en-GB" w:bidi="en-GB"/>
        </w:rPr>
        <w:drawing>
          <wp:inline distT="0" distB="0" distL="0" distR="0">
            <wp:extent cx="1400810" cy="1216660"/>
            <wp:docPr id="2" name="Picture 1"/>
            <a:graphic xmlns:a="http://schemas.openxmlformats.org/drawingml/2006/main">
              <a:graphicData uri="http://schemas.openxmlformats.org/drawingml/2006/picture">
                <pic:pic xmlns:pic="http://schemas.openxmlformats.org/drawingml/2006/picture">
                  <pic:nvPicPr>
                    <pic:cNvPr id="0" name="Image 2"/>
                    <pic:cNvPicPr/>
                  </pic:nvPicPr>
                  <pic:blipFill>
                    <a:blip r:embed="rId00006"/>
                    <a:stretch>
                      <a:fillRect/>
                    </a:stretch>
                  </pic:blipFill>
                  <pic:spPr>
                    <a:xfrm>
                      <a:off x="0" y="0"/>
                      <a:ext cx="1400810" cy="1216660"/>
                    </a:xfrm>
                    <a:prstGeom prst="rect">
                      <a:avLst/>
                    </a:prstGeom>
                  </pic:spPr>
                </pic:pic>
              </a:graphicData>
            </a:graphic>
          </wp:inline>
        </w:drawing>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color w:val="333399"/>
          <w:sz w:val="32"/>
          <w:szCs w:val="32"/>
          <w:lang w:val="en-GB" w:eastAsia="en-GB" w:bidi="en-GB"/>
        </w:rPr>
      </w:pPr>
      <w:r>
        <mc:AlternateContent>
          <mc:Choice Requires="wps">
            <w:drawing>
              <wp:anchor distT="0" distB="0" distL="114300" distR="114300" simplePos="0" relativeHeight="251661311" behindDoc="0" locked="0" layoutInCell="1" hidden="0" allowOverlap="1">
                <wp:simplePos x="0" y="0"/>
                <wp:positionH relativeFrom="column">
                  <wp:posOffset>-7615</wp:posOffset>
                </wp:positionH>
                <wp:positionV relativeFrom="paragraph">
                  <wp:posOffset>189441</wp:posOffset>
                </wp:positionV>
                <wp:extent cx="5733708" cy="104157"/>
                <wp:wrapNone/>
                <wp:docPr id="4" name="Rectangle 2"/>
                <a:graphic xmlns:a="http://schemas.openxmlformats.org/drawingml/2006/main">
                  <a:graphicData uri="http://schemas.microsoft.com/office/word/2010/wordprocessingShape">
                    <wps:wsp>
                      <wps:cNvSpPr/>
                      <wps:spPr>
                        <a:xfrm>
                          <a:off x="0" y="0"/>
                          <a:ext cx="5733708" cy="104157"/>
                        </a:xfrm>
                        <a:prstGeom prst="rect"/>
                        <a:solidFill>
                          <a:srgbClr val="17AFBE"/>
                        </a:solidFill>
                        <a:ln w="9525">
                          <a:solidFill>
                            <a:srgbClr val="17AFBE"/>
                          </a:solidFill>
                        </a:ln>
                      </wps:spPr>
                      <wps:bodyPr/>
                      <a:extLst>
                        <a:ext uri="{A2A0BA46-8DB7-4952-BFCE-B747086F0524}">
                          <tx19:NetControl tx23:val="drawing" tx23:pict="rId00007"/>
                        </a:ext>
                      </a:extLst>
                    </wps:wsp>
                  </a:graphicData>
                </a:graphic>
              </wp:anchor>
            </w:drawing>
          </mc:Choice>
        </mc:AlternateConten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36"/>
          <w:szCs w:val="36"/>
          <w:lang w:val="en-GB" w:eastAsia="en-GB" w:bidi="en-GB"/>
        </w:rPr>
      </w:pPr>
      <w:r>
        <w:rPr>
          <w:rFonts w:ascii="Arial" w:hAnsi="Arial" w:eastAsia="Arial" w:cs="Arial"/>
          <w:b/>
          <w:bCs/>
          <w:color w:val="004295"/>
          <w:sz w:val="36"/>
          <w:szCs w:val="36"/>
          <w:lang w:val="en-GB" w:eastAsia="en-GB" w:bidi="en-GB"/>
        </w:rPr>
        <w:t xml:space="preserve">SELECTION INFORMATION &amp; CAMPAIGN TIMELINE</w:t>
      </w:r>
    </w:p>
    <w:p>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b/>
          <w:bCs/>
          <w:lang w:val="en-GB" w:eastAsia="en-GB" w:bidi="en-GB"/>
        </w:rPr>
      </w:pPr>
      <w:r>
        <w:rPr>
          <w:rFonts w:ascii="Arial" w:hAnsi="Arial" w:eastAsia="Arial" w:cs="Arial"/>
          <w:b/>
          <w:bCs/>
          <w:lang w:val="en-GB" w:eastAsia="en-GB" w:bidi="en-GB"/>
        </w:rPr>
        <w:t xml:space="preserve">Operations Officer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b/>
          <w:bCs/>
          <w:color w:val="004295"/>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want to ensure you have access to all the information you need to feel prepared, confident and able to show us your best.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br w:type="textWrapping"/>
      </w:r>
      <w:r>
        <w:rPr>
          <w:rFonts w:ascii="Arial" w:hAnsi="Arial" w:eastAsia="Arial" w:cs="Arial"/>
          <w:sz w:val="22"/>
          <w:szCs w:val="22"/>
          <w:lang w:val="en-GB" w:eastAsia="en-GB" w:bidi="en-GB"/>
        </w:rPr>
        <w:t xml:space="preserve">We’ve included details of the selection process and at which stage each criteria from the Person Specification will be assessed. We’ve also included key dates you’ll want to keep in mind.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8"/>
          <w:szCs w:val="28"/>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Our selection approach is based upon the principle of merit which means that we’ll look to appointment the person who best meets the requirements of the role as outlined in the Person Specification.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 determining the most meritorious candidate, applicants will be assessed against the published criteria during the selection process, as detailed below. The most meritorious candidate will be the one who best meets the essential criteria for the role. Performance against any published desirable criteria will only be considered where two or more candidates have performed equally against the essential criteria and there is a need to use the desirable criteria to identify the preferred candidate.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selection process for this role will consist of the following stages: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bl>
      <w:tblPr>
        <w:tblW w:w="0" w:type="auto"/>
        <w:jc w:val="left"/>
        <w:tblInd w:w="0" w:type="dxa"/>
        <w:tblBorders>
          <w:top w:val="single" w:sz="4" w:space="0" w:color="auto"/>
          <w:left w:val="single" w:sz="4" w:space="0" w:color="auto"/>
          <w:bottom w:val="single" w:sz="4" w:space="0" w:color="auto"/>
          <w:right w:val="single" w:sz="4" w:space="0" w:color="auto"/>
          <w:insideH w:val="none"/>
          <w:insideV w:val="none"/>
        </w:tblBorders>
        <w:tblLayout w:type="fixed"/>
        <w:tblCellMar>
          <w:top w:w="0" w:type="dxa"/>
          <w:left w:w="108" w:type="dxa"/>
          <w:bottom w:w="0" w:type="dxa"/>
          <w:right w:w="108" w:type="dxa"/>
        </w:tblCellMar>
      </w:tblPr>
      <w:tblGrid>
        <w:gridCol w:w="9016"/>
      </w:tblGrid>
      <w:tr>
        <w:tc>
          <w:tcPr>
            <w:tcW w:w="9016" w:type="dxa"/>
            <w:shd w:val="clear" w:color="auto" w:fill="auto"/>
            <w:vAlign w:val="top"/>
          </w:tcPr>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Situational Judgement Test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Cognitive Ability Test</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p>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Competencies for Success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Please view our </w:t>
      </w:r>
      <w:r>
        <w:rPr>
          <w:rStyle w:val="Hyperlink"/>
          <w:rFonts w:ascii="Arial" w:hAnsi="Arial" w:eastAsia="Arial" w:cs="Arial"/>
          <w:b/>
          <w:bCs/>
          <w:sz w:val="22"/>
          <w:szCs w:val="22"/>
          <w:lang w:val="en-GB" w:eastAsia="en-GB" w:bidi="en-GB"/>
        </w:rPr>
        <w:fldChar w:fldCharType="begin"/>
      </w:r>
      <w:r>
        <w:rPr>
          <w:rStyle w:val="Hyperlink"/>
          <w:rFonts w:ascii="Arial" w:hAnsi="Arial" w:eastAsia="Arial" w:cs="Arial"/>
          <w:b/>
          <w:bCs/>
          <w:sz w:val="22"/>
          <w:szCs w:val="22"/>
          <w:lang w:val="en-GB" w:eastAsia="en-GB" w:bidi="en-GB"/>
        </w:rPr>
        <w:instrText xml:space="preserve"> HYPERLINK "https://www.sps.gov.uk/careers/working-sps/career-and-development" </w:instrText>
      </w:r>
      <w:r>
        <w:rPr>
          <w:rStyle w:val="Hyperlink"/>
          <w:rFonts w:ascii="Arial" w:hAnsi="Arial" w:eastAsia="Arial" w:cs="Arial"/>
          <w:b/>
          <w:bCs/>
          <w:sz w:val="22"/>
          <w:szCs w:val="22"/>
          <w:lang w:val="en-GB" w:eastAsia="en-GB" w:bidi="en-GB"/>
        </w:rPr>
        <w:fldChar w:fldCharType="separate"/>
      </w:r>
      <w:r>
        <w:rPr>
          <w:rStyle w:val="Hyperlink"/>
          <w:rFonts w:ascii="Arial" w:hAnsi="Arial" w:eastAsia="Arial" w:cs="Arial"/>
          <w:b/>
          <w:bCs/>
          <w:sz w:val="22"/>
          <w:szCs w:val="22"/>
          <w:lang w:val="en-GB" w:eastAsia="en-GB" w:bidi="en-GB"/>
        </w:rPr>
        <w:t xml:space="preserve">Competencies for Success Framework</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for information on the core behavioural competencies which apply to all our roles. During recruitment, you’ll be assessed on up to four Competencies for Success, as outlined in the below Selection Information.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Information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6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Criteria</w:t>
            </w:r>
          </w:p>
        </w:tc>
        <w:tc>
          <w:tcPr>
            <w:tcW w:w="241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Essential or Desirable</w:t>
            </w:r>
          </w:p>
        </w:tc>
        <w:tc>
          <w:tcPr>
            <w:tcW w:w="2268"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Stage of Selection Process Assessed</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Core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90"/>
        <w:gridCol w:w="2409"/>
        <w:gridCol w:w="2240"/>
      </w:tblGrid>
      <w:tr>
        <w:trPr>
          <w:trHeight w:val="429" w:hRule="atLeast"/>
        </w:trPr>
        <w:tc>
          <w:tcPr>
            <w:tcW w:w="4390" w:type="dxa"/>
            <w:tcBorders>
              <w:top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Numeracy &amp; Literacy Skills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An ability to comprehend written passages, perform basis mathematical functions, draw logical conclusions and identify patterns.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p>
        </w:tc>
        <w:tc>
          <w:tcPr>
            <w:tcW w:w="2409" w:type="dxa"/>
            <w:tcBorders>
              <w:top w:val="single" w:sz="4" w:space="0" w:color="92CDDC"/>
            </w:tcBorders>
            <w:shd w:val="clear" w:color="auto" w:fill="FFFFF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sdt>
              <w:sdtPr>
                <w:id w:val="1"/>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40" w:type="dxa"/>
            <w:tcBorders>
              <w:top w:val="single" w:sz="4" w:space="0" w:color="92CDDC"/>
            </w:tcBorders>
            <w:shd w:val="clear" w:color="auto" w:fill="FFFFF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sz w:val="22"/>
                <w:szCs w:val="22"/>
                <w:lang w:val="en-GB" w:eastAsia="en-GB" w:bidi="en-GB"/>
              </w:rPr>
              <w:t xml:space="preserve">Cognitive Ability Test</w:t>
            </w:r>
          </w:p>
        </w:tc>
      </w:tr>
      <w:tr>
        <w:trPr>
          <w:trHeight w:val="429" w:hRule="atLeast"/>
        </w:trPr>
        <w:tc>
          <w:tcPr>
            <w:tcW w:w="4390"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Values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Personal values which are aligned to and consistent with SPS Values.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Belief - </w:t>
            </w:r>
            <w:r>
              <w:rPr>
                <w:rFonts w:ascii="Arial" w:hAnsi="Arial" w:eastAsia="Arial" w:cs="Arial"/>
                <w:sz w:val="22"/>
                <w:szCs w:val="22"/>
                <w:lang w:val="en-GB" w:eastAsia="en-GB" w:bidi="en-GB"/>
              </w:rPr>
              <w:t xml:space="preserve">we believe that people can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Respect - </w:t>
            </w:r>
            <w:r>
              <w:rPr>
                <w:rFonts w:ascii="Arial" w:hAnsi="Arial" w:eastAsia="Arial" w:cs="Arial"/>
                <w:sz w:val="22"/>
                <w:szCs w:val="22"/>
                <w:lang w:val="en-GB" w:eastAsia="en-GB" w:bidi="en-GB"/>
              </w:rPr>
              <w:t xml:space="preserve">we are inclusive, respecting the needs, rights and voices of everyone equitably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Integrity - </w:t>
            </w:r>
            <w:r>
              <w:rPr>
                <w:rFonts w:ascii="Arial" w:hAnsi="Arial" w:eastAsia="Arial" w:cs="Arial"/>
                <w:sz w:val="22"/>
                <w:szCs w:val="22"/>
                <w:lang w:val="en-GB" w:eastAsia="en-GB" w:bidi="en-GB"/>
              </w:rPr>
              <w:t xml:space="preserve">we have high ethical, moral and professional standards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Openness - </w:t>
            </w:r>
            <w:r>
              <w:rPr>
                <w:rFonts w:ascii="Arial" w:hAnsi="Arial" w:eastAsia="Arial" w:cs="Arial"/>
                <w:sz w:val="22"/>
                <w:szCs w:val="22"/>
                <w:lang w:val="en-GB" w:eastAsia="en-GB" w:bidi="en-GB"/>
              </w:rPr>
              <w:t xml:space="preserve">we work with others to achieve the best outcomes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Compassion - </w:t>
            </w:r>
            <w:r>
              <w:rPr>
                <w:rFonts w:ascii="Arial" w:hAnsi="Arial" w:eastAsia="Arial" w:cs="Arial"/>
                <w:sz w:val="22"/>
                <w:szCs w:val="22"/>
                <w:lang w:val="en-GB" w:eastAsia="en-GB" w:bidi="en-GB"/>
              </w:rPr>
              <w:t xml:space="preserve">we care about people and believe that positive relationships are a critical enabler of change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Humility - </w:t>
            </w:r>
            <w:r>
              <w:rPr>
                <w:rFonts w:ascii="Arial" w:hAnsi="Arial" w:eastAsia="Arial" w:cs="Arial"/>
                <w:sz w:val="22"/>
                <w:szCs w:val="22"/>
                <w:lang w:val="en-GB" w:eastAsia="en-GB" w:bidi="en-GB"/>
              </w:rPr>
              <w:t xml:space="preserve">we cannot do this on our own, we recognise that we need to work with and learn from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sz w:val="22"/>
                <w:szCs w:val="22"/>
                <w:lang w:val="en-GB" w:eastAsia="en-GB" w:bidi="en-GB"/>
              </w:rPr>
              <w:t xml:space="preserve">Innovation - </w:t>
            </w:r>
            <w:r>
              <w:rPr>
                <w:rFonts w:ascii="Arial" w:hAnsi="Arial" w:eastAsia="Arial" w:cs="Arial"/>
                <w:sz w:val="22"/>
                <w:szCs w:val="22"/>
                <w:lang w:val="en-GB" w:eastAsia="en-GB" w:bidi="en-GB"/>
              </w:rPr>
              <w:t xml:space="preserve">we continually find ways to improve the delivery of prison services in Scotland</w:t>
            </w:r>
          </w:p>
        </w:tc>
        <w:tc>
          <w:tcPr>
            <w:tcW w:w="2409" w:type="dxa"/>
            <w:tcBorders>
              <w:bottom w:val="single" w:sz="4" w:space="0" w:color="92CDDC"/>
            </w:tcBorders>
            <w:shd w:val="clear" w:color="auto" w:fill="FFFFF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Essential</w:t>
            </w:r>
          </w:p>
        </w:tc>
        <w:tc>
          <w:tcPr>
            <w:tcW w:w="2240" w:type="dxa"/>
            <w:tcBorders>
              <w:bottom w:val="single" w:sz="4" w:space="0" w:color="92CDDC"/>
            </w:tcBorders>
            <w:shd w:val="clear" w:color="auto" w:fill="FFFFFF"/>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Situational Judgement Test</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9"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b/>
                <w:bCs/>
                <w:lang w:val="en-GB" w:eastAsia="en-GB" w:bidi="en-GB"/>
              </w:rPr>
            </w:pPr>
            <w:r>
              <w:rPr>
                <w:rFonts w:ascii="Arial" w:hAnsi="Arial" w:eastAsia="Arial" w:cs="Arial"/>
                <w:b/>
                <w:bCs/>
                <w:lang w:val="en-GB" w:eastAsia="en-GB" w:bidi="en-GB"/>
              </w:rPr>
              <w:t xml:space="preserve">Knowledge, Skills &amp; Experience</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46" w:hRule="atLeast"/>
        </w:trPr>
        <w:tc>
          <w:tcPr>
            <w:tcW w:w="4361" w:type="dxa"/>
            <w:tcBorders>
              <w:top w:val="single" w:sz="4" w:space="0" w:color="92CDDC"/>
            </w:tcBorders>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Working with Others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Work experience which demonstrates your ability to work effectively within teams, interact with people and build successful working relationships.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2"/>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r>
        <w:trPr>
          <w:trHeight w:val="832" w:hRule="atLeast"/>
        </w:trPr>
        <w:tc>
          <w:tcPr>
            <w:tcW w:w="4361" w:type="dxa"/>
            <w:shd w:val="clear" w:color="auto" w:fill="DAEEF3"/>
            <w:vAlign w:val="top"/>
          </w:tcPr>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lang w:val="en-GB" w:eastAsia="en-GB" w:bidi="en-GB"/>
              </w:rPr>
            </w:pPr>
            <w:r>
              <w:rPr>
                <w:rFonts w:ascii="Arial" w:hAnsi="Arial" w:eastAsia="Arial" w:cs="Arial"/>
                <w:b/>
                <w:bCs/>
                <w:lang w:val="en-GB" w:eastAsia="en-GB" w:bidi="en-GB"/>
              </w:rPr>
              <w:t xml:space="preserve">Influencing the Behaviour of Others</w:t>
            </w: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p>
          <w:p>
            <w:pPr>
              <w:pStyle w:val="NoSpacing"/>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lang w:val="en-GB" w:eastAsia="en-GB" w:bidi="en-GB"/>
              </w:rPr>
            </w:pPr>
            <w:r>
              <w:rPr>
                <w:rFonts w:ascii="Arial" w:hAnsi="Arial" w:eastAsia="Arial" w:cs="Arial"/>
                <w:lang w:val="en-GB" w:eastAsia="en-GB" w:bidi="en-GB"/>
              </w:rPr>
              <w:t xml:space="preserve">Evidence of your ability to confidently and positively influence or challenge the behaviour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center"/>
              <w:rPr>
                <w:rFonts w:ascii="Arial" w:hAnsi="Arial" w:eastAsia="Arial" w:cs="Arial"/>
                <w:sz w:val="22"/>
                <w:szCs w:val="22"/>
                <w:lang w:val="en-GB" w:eastAsia="en-GB" w:bidi="en-GB"/>
              </w:rPr>
            </w:pPr>
            <w:sdt>
              <w:sdtPr>
                <w:id w:val="3"/>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 </w:t>
            </w:r>
          </w:p>
        </w:tc>
      </w:tr>
      <w:tr>
        <w:trPr>
          <w:trHeight w:val="832" w:hRule="atLeast"/>
        </w:trPr>
        <w:tc>
          <w:tcPr>
            <w:tcW w:w="4361" w:type="dxa"/>
            <w:tcBorders>
              <w:bottom w:val="single" w:sz="4" w:space="0" w:color="92CDDC"/>
            </w:tcBorders>
            <w:shd w:val="clear" w:color="auto" w:fill="DAEEF3"/>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Following Processes &amp; Procedures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Evidence of an ability to follow processes, procedures and instructions to ensure accuracy and standards are met.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tc>
        <w:tc>
          <w:tcPr>
            <w:tcW w:w="2410"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sdt>
              <w:sdtPr>
                <w:id w:val="4"/>
                <w:dropDownList>
                  <w:listItem w:displayText="Essential" w:value="Essential"/>
                  <w:listItem w:displayText="Desirable" w:value="Desirable"/>
                </w:dropDownList>
              </w:sdtPr>
              <w:sdtContent>
                <w:r>
                  <w:rPr>
                    <w:rFonts w:ascii="Arial" w:hAnsi="Arial" w:eastAsia="Arial" w:cs="Arial"/>
                    <w:b/>
                    <w:bCs/>
                    <w:sz w:val="22"/>
                    <w:szCs w:val="22"/>
                    <w:lang w:val="en-GB" w:eastAsia="en-GB" w:bidi="en-GB"/>
                  </w:rPr>
                  <w:t xml:space="preserve">Essential</w:t>
                </w:r>
              </w:sdtContent>
            </w:sdt>
          </w:p>
        </w:tc>
        <w:tc>
          <w:tcPr>
            <w:tcW w:w="2268" w:type="dxa"/>
            <w:tcBorders>
              <w:bottom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none"/>
        </w:tblBorders>
        <w:tblLayout w:type="fixed"/>
        <w:tblCellMar>
          <w:top w:w="0" w:type="dxa"/>
          <w:left w:w="108" w:type="dxa"/>
          <w:bottom w:w="0" w:type="dxa"/>
          <w:right w:w="108" w:type="dxa"/>
        </w:tblCellMar>
      </w:tblPr>
      <w:tblGrid>
        <w:gridCol w:w="9039"/>
      </w:tblGrid>
      <w:tr>
        <w:trPr>
          <w:trHeight w:val="425" w:hRule="atLeast"/>
        </w:trPr>
        <w:tc>
          <w:tcPr>
            <w:tcW w:w="9039" w:type="dxa"/>
            <w:tcBorders>
              <w:top w:val="single" w:sz="4" w:space="0" w:color="92CDDC"/>
              <w:bottom w:val="single" w:sz="4" w:space="0" w:color="92CDDC"/>
            </w:tcBorders>
            <w:shd w:val="clear" w:color="auto" w:fill="F2F2F2"/>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rPr>
                <w:rFonts w:ascii="Arial" w:hAnsi="Arial" w:eastAsia="Arial" w:cs="Arial"/>
                <w:lang w:val="en-GB" w:eastAsia="en-GB" w:bidi="en-GB"/>
              </w:rPr>
            </w:pPr>
            <w:r>
              <w:rPr>
                <w:rFonts w:ascii="Arial" w:hAnsi="Arial" w:eastAsia="Arial" w:cs="Arial"/>
                <w:b/>
                <w:bCs/>
                <w:lang w:val="en-GB" w:eastAsia="en-GB" w:bidi="en-GB"/>
              </w:rPr>
              <w:t xml:space="preserve">Competencies for Success</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4361"/>
        <w:gridCol w:w="2410"/>
        <w:gridCol w:w="2268"/>
      </w:tblGrid>
      <w:tr>
        <w:trPr>
          <w:trHeight w:val="836" w:hRule="atLeast"/>
        </w:trPr>
        <w:tc>
          <w:tcPr>
            <w:tcW w:w="4361"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sdt>
              <w:sdtPr>
                <w:id w:val="5"/>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sz w:val="22"/>
                    <w:szCs w:val="22"/>
                    <w:lang w:val="en-US" w:eastAsia="en-US" w:bidi="en-US"/>
                  </w:rPr>
                  <w:t xml:space="preserve">Develop Ourselves &amp; Others</w:t>
                </w:r>
              </w:sdtContent>
            </w:sdt>
          </w:p>
        </w:tc>
        <w:tc>
          <w:tcPr>
            <w:tcW w:w="2410"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sdt>
              <w:sdtPr>
                <w:id w:val="6"/>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tcBorders>
              <w:top w:val="single" w:sz="4" w:space="0" w:color="92CDDC"/>
            </w:tcBorders>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 </w:t>
            </w:r>
          </w:p>
        </w:tc>
      </w:tr>
      <w:tr>
        <w:trPr>
          <w:trHeight w:val="834" w:hRule="atLeast"/>
        </w:trPr>
        <w:tc>
          <w:tcPr>
            <w:tcW w:w="4361"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sdt>
              <w:sdtPr>
                <w:id w:val="7"/>
                <w:dropDownList>
                  <w:listItem w:displayText="Relationships &amp; Collaboration" w:value="Relationships &amp; Collaboration"/>
                  <w:listItem w:displayText="Listen &amp; Communicate" w:value="Listen &amp; Communicate"/>
                  <w:listItem w:displayText="Support &amp; Motivate" w:value="Support &amp; Motivate"/>
                  <w:listItem w:displayText="Develop Ourselves &amp; Others" w:value="Develop Ourselves &amp; Others"/>
                  <w:listItem w:displayText="Accountability &amp; Initiative" w:value="Accountability &amp; Initiative"/>
                  <w:listItem w:displayText="Plan &amp; Organise" w:value="Plan &amp; Organise"/>
                  <w:listItem w:displayText="Solve Problems &amp; Make Decisions" w:value="Solve Problems &amp; Make Decisions"/>
                  <w:listItem w:displayText="Change &amp; Improve" w:value="Change &amp; Improve"/>
                </w:dropDownList>
              </w:sdtPr>
              <w:sdtContent>
                <w:r>
                  <w:rPr>
                    <w:rFonts w:ascii="Arial" w:hAnsi="Arial" w:eastAsia="Arial" w:cs="Arial"/>
                    <w:b/>
                    <w:bCs/>
                    <w:sz w:val="22"/>
                    <w:szCs w:val="22"/>
                    <w:lang w:val="en-US" w:eastAsia="en-US" w:bidi="en-US"/>
                  </w:rPr>
                  <w:t xml:space="preserve">Solve Problems &amp; Make Decisions</w:t>
                </w:r>
              </w:sdtContent>
            </w:sdt>
          </w:p>
        </w:tc>
        <w:tc>
          <w:tcPr>
            <w:tcW w:w="2410"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GB" w:eastAsia="en-GB" w:bidi="en-GB"/>
              </w:rPr>
            </w:pPr>
            <w:sdt>
              <w:sdtPr>
                <w:id w:val="8"/>
                <w:dropDownList>
                  <w:listItem w:displayText="Essential" w:value="Essential"/>
                </w:dropDownList>
              </w:sdtPr>
              <w:sdtContent>
                <w:r>
                  <w:rPr>
                    <w:rFonts w:ascii="Arial" w:hAnsi="Arial" w:eastAsia="Arial" w:cs="Arial"/>
                    <w:b/>
                    <w:bCs/>
                    <w:sz w:val="22"/>
                    <w:szCs w:val="22"/>
                    <w:lang w:val="en-GB" w:eastAsia="en-GB" w:bidi="en-GB"/>
                  </w:rPr>
                  <w:t xml:space="preserve">Essential</w:t>
                </w:r>
              </w:sdtContent>
            </w:sdt>
          </w:p>
        </w:tc>
        <w:tc>
          <w:tcPr>
            <w:tcW w:w="2268" w:type="dxa"/>
            <w:shd w:val="clear" w:color="auto" w:fill="auto"/>
            <w:vAlign w:val="top"/>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after="12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Interview </w:t>
            </w: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160" w:line="259" w:lineRule="auto"/>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br w:type="page"/>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r>
        <w:rPr>
          <w:rFonts w:ascii="Arial" w:hAnsi="Arial" w:eastAsia="Arial" w:cs="Arial"/>
          <w:b/>
          <w:bCs/>
          <w:color w:val="004295"/>
          <w:sz w:val="24"/>
          <w:szCs w:val="24"/>
          <w:lang w:val="en-GB" w:eastAsia="en-GB" w:bidi="en-GB"/>
        </w:rPr>
        <w:t xml:space="preserve">Selection Process Key Dates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tbl>
      <w:tblPr>
        <w:tblW w:w="0" w:type="auto"/>
        <w:jc w:val="left"/>
        <w:tblInd w:w="0" w:type="dxa"/>
        <w:tblBorders>
          <w:top w:val="single" w:sz="4" w:space="0" w:color="92CDDC"/>
          <w:left w:val="single" w:sz="4" w:space="0" w:color="92CDDC"/>
          <w:bottom w:val="single" w:sz="4" w:space="0" w:color="92CDDC"/>
          <w:right w:val="single" w:sz="4" w:space="0" w:color="92CDDC"/>
          <w:insideH w:val="none"/>
          <w:insideV w:val="single" w:sz="4" w:space="0" w:color="92CDDC"/>
        </w:tblBorders>
        <w:tblLayout w:type="fixed"/>
        <w:tblCellMar>
          <w:top w:w="0" w:type="dxa"/>
          <w:left w:w="108" w:type="dxa"/>
          <w:bottom w:w="0" w:type="dxa"/>
          <w:right w:w="108" w:type="dxa"/>
        </w:tblCellMar>
      </w:tblPr>
      <w:tblGrid>
        <w:gridCol w:w="2093"/>
        <w:gridCol w:w="2315"/>
        <w:gridCol w:w="2315"/>
        <w:gridCol w:w="2316"/>
      </w:tblGrid>
      <w:tr>
        <w:trPr>
          <w:trHeight w:val="580" w:hRule="atLeast"/>
        </w:trPr>
        <w:tc>
          <w:tcPr>
            <w:tcW w:w="2093"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Date Vacancy Closes for Applications</w:t>
            </w:r>
          </w:p>
        </w:tc>
        <w:tc>
          <w:tcPr>
            <w:tcW w:w="2315"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sdt>
              <w:sdtPr>
                <w:id w:val="9"/>
                <w:date w:fullDate="2026-09-14T00:00:00Z">
                  <w:dateFormat w:val="dd/MM/yyyy"/>
                </w:date>
              </w:sdtPr>
              <w:sdtContent>
                <w:r>
                  <w:rPr>
                    <w:rFonts w:ascii="Arial" w:hAnsi="Arial" w:eastAsia="Arial" w:cs="Arial"/>
                    <w:sz w:val="22"/>
                    <w:szCs w:val="22"/>
                    <w:lang w:val="en-GB" w:eastAsia="en-GB" w:bidi="en-GB"/>
                  </w:rPr>
                  <w:t xml:space="preserve">14/09/2026</w:t>
                </w:r>
              </w:sdtContent>
            </w:sdt>
          </w:p>
        </w:tc>
        <w:tc>
          <w:tcPr>
            <w:tcW w:w="2315" w:type="dxa"/>
            <w:tcBorders>
              <w:bottom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Time Vacancy Closes for Applications</w:t>
            </w:r>
          </w:p>
        </w:tc>
        <w:tc>
          <w:tcPr>
            <w:tcW w:w="2316" w:type="dxa"/>
            <w:tcBorders>
              <w:bottom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lang w:val="en-GB" w:eastAsia="en-GB" w:bidi="en-GB"/>
              </w:rPr>
            </w:pPr>
            <w:r>
              <w:rPr>
                <w:rFonts w:ascii="Arial" w:hAnsi="Arial" w:eastAsia="Arial" w:cs="Arial"/>
                <w:sz w:val="22"/>
                <w:szCs w:val="22"/>
                <w:lang w:val="en-GB" w:eastAsia="en-GB" w:bidi="en-GB"/>
              </w:rPr>
              <w:t xml:space="preserve">23:59 </w:t>
            </w:r>
          </w:p>
        </w:tc>
      </w:tr>
    </w:tbl>
    <w:tbl>
      <w:tblPr>
        <w:tblW w:w="0" w:type="auto"/>
        <w:jc w:val="left"/>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Layout w:type="fixed"/>
        <w:tblCellMar>
          <w:top w:w="0" w:type="dxa"/>
          <w:left w:w="108" w:type="dxa"/>
          <w:bottom w:w="0" w:type="dxa"/>
          <w:right w:w="108" w:type="dxa"/>
        </w:tblCellMar>
      </w:tblPr>
      <w:tblGrid>
        <w:gridCol w:w="2093"/>
        <w:gridCol w:w="6946"/>
      </w:tblGrid>
      <w:tr>
        <w:trPr>
          <w:trHeight w:val="688" w:hRule="atLeast"/>
        </w:trPr>
        <w:tc>
          <w:tcPr>
            <w:tcW w:w="2093" w:type="dxa"/>
            <w:tcBorders>
              <w:top w:val="single" w:sz="4" w:space="0" w:color="92CDDC"/>
            </w:tcBorders>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Situational Judgement Test</w:t>
            </w:r>
          </w:p>
        </w:tc>
        <w:tc>
          <w:tcPr>
            <w:tcW w:w="6946" w:type="dxa"/>
            <w:tcBorders>
              <w:top w:val="single" w:sz="4" w:space="0" w:color="92CDDC"/>
            </w:tcBorders>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You will have five days to complete your Situational Judgement Test from the initial invite. Failure to complete the test within the timeframe outlined will result in your application being withdrawn from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Applicants that have not completed the test by 22/09/2026 will be withdrawn.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tc>
      </w:tr>
      <w:tr>
        <w:trPr>
          <w:trHeight w:val="688" w:hRule="atLeast"/>
        </w:trPr>
        <w:tc>
          <w:tcPr>
            <w:tcW w:w="2093"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Cognitive Ability Test </w:t>
            </w:r>
          </w:p>
        </w:tc>
        <w:tc>
          <w:tcPr>
            <w:tcW w:w="694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successful at the Situational Judgement Test, you will soon receive an invitation to complete an online Cognitive Ability Test. You will have seven days to complete this. Failure to complete the test within the timeframe outlined will result in your application being withdrawn from the process.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Applicants that have not completed the test by 01/10/2026 will be withdrawn.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tc>
      </w:tr>
      <w:tr>
        <w:trPr>
          <w:trHeight w:val="688" w:hRule="atLeast"/>
        </w:trPr>
        <w:tc>
          <w:tcPr>
            <w:tcW w:w="2093" w:type="dxa"/>
            <w:shd w:val="clear" w:color="auto" w:fill="DAEEF3"/>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Interview Date*</w:t>
            </w:r>
          </w:p>
        </w:tc>
        <w:tc>
          <w:tcPr>
            <w:tcW w:w="6946" w:type="dxa"/>
            <w:shd w:val="clear" w:color="auto" w:fill="auto"/>
            <w:vAlign w:val="center"/>
          </w:tcPr>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Candidates successful at the Cognitive Ability Test will be invited to attend the final assessment stage which will consist of a virtual online interview.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tc>
      </w:tr>
    </w:tbl>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Reasonable Adjustments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recognise that people may have access needs or require adjustments to help them perform at their best. We refer to these as reasonable adjustments.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have a disability, whether visible or non</w:t>
      </w:r>
      <w:r>
        <w:rPr>
          <w:rFonts w:ascii="Cambria Math" w:hAnsi="Cambria Math" w:eastAsia="Cambria Math" w:cs="Cambria Math"/>
          <w:sz w:val="22"/>
          <w:szCs w:val="22"/>
          <w:lang w:val="en-GB" w:eastAsia="en-GB" w:bidi="en-GB"/>
        </w:rPr>
        <w:t xml:space="preserve">‑</w:t>
      </w:r>
      <w:r>
        <w:rPr>
          <w:rFonts w:ascii="Arial" w:hAnsi="Arial" w:eastAsia="Arial" w:cs="Arial"/>
          <w:sz w:val="22"/>
          <w:szCs w:val="22"/>
          <w:lang w:val="en-GB" w:eastAsia="en-GB" w:bidi="en-GB"/>
        </w:rPr>
        <w:t xml:space="preserve">visible, or any access needs that would support your full participation in the selection process, please contact </w:t>
      </w:r>
      <w:r>
        <w:rPr>
          <w:rStyle w:val="Hyperlink"/>
          <w:rFonts w:ascii="Arial" w:hAnsi="Arial" w:eastAsia="Arial" w:cs="Arial"/>
          <w:sz w:val="22"/>
          <w:szCs w:val="22"/>
          <w:lang w:val="en-GB" w:eastAsia="en-GB" w:bidi="en-GB"/>
        </w:rPr>
        <w:fldChar w:fldCharType="begin"/>
      </w:r>
      <w:r>
        <w:rPr>
          <w:rStyle w:val="Hyperlink"/>
          <w:rFonts w:ascii="Arial" w:hAnsi="Arial" w:eastAsia="Arial" w:cs="Arial"/>
          <w:sz w:val="22"/>
          <w:szCs w:val="22"/>
          <w:lang w:val="en-GB" w:eastAsia="en-GB" w:bidi="en-GB"/>
        </w:rPr>
        <w:instrText xml:space="preserve"> HYPERLINK "mailto:vacancies@prisons.gov.scot" </w:instrText>
      </w:r>
      <w:r>
        <w:rPr>
          <w:rStyle w:val="Hyperlink"/>
          <w:rFonts w:ascii="Arial" w:hAnsi="Arial" w:eastAsia="Arial" w:cs="Arial"/>
          <w:sz w:val="22"/>
          <w:szCs w:val="22"/>
          <w:lang w:val="en-GB" w:eastAsia="en-GB" w:bidi="en-GB"/>
        </w:rPr>
        <w:fldChar w:fldCharType="separate"/>
      </w:r>
      <w:r>
        <w:rPr>
          <w:rStyle w:val="Hyperlink"/>
          <w:rFonts w:ascii="Arial" w:hAnsi="Arial" w:eastAsia="Arial" w:cs="Arial"/>
          <w:sz w:val="22"/>
          <w:szCs w:val="22"/>
          <w:lang w:val="en-GB" w:eastAsia="en-GB" w:bidi="en-GB"/>
        </w:rPr>
        <w:t xml:space="preserve">vacancies@prisons.gov.scot</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in the first instance to discuss how we can best support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Examples of reasonable adjustments we have provided in the past include: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Offering additional time during interviews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Adjusting how interview questions are asked</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Scheduling interviews at a time that works best for you</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Breaking multi</w:t>
      </w:r>
      <w:r>
        <w:rPr>
          <w:rFonts w:ascii="Cambria Math" w:hAnsi="Cambria Math" w:eastAsia="Cambria Math" w:cs="Cambria Math"/>
          <w:sz w:val="22"/>
          <w:szCs w:val="22"/>
          <w:lang w:val="en-GB" w:eastAsia="en-GB" w:bidi="en-GB"/>
        </w:rPr>
        <w:t xml:space="preserve">‑</w:t>
      </w:r>
      <w:r>
        <w:rPr>
          <w:rFonts w:ascii="Arial" w:hAnsi="Arial" w:eastAsia="Arial" w:cs="Arial"/>
          <w:sz w:val="22"/>
          <w:szCs w:val="22"/>
          <w:lang w:val="en-GB" w:eastAsia="en-GB" w:bidi="en-GB"/>
        </w:rPr>
        <w:t xml:space="preserve">stage questions into smaller steps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Providing written materials in alternative formats (e.g., different font, colour, or text size)</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Sharing extra information about what to expect during the selection process</w:t>
      </w:r>
    </w:p>
    <w:p>
      <w:pPr>
        <w:pStyle w:val="ListParagraph"/>
        <w:numPr>
          <w:ilvl w:val="0"/>
          <w:numId w:val="1"/>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Printing resources on paper in a preferred colour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r>
        <w:rPr>
          <w:rFonts w:ascii="Arial" w:hAnsi="Arial" w:eastAsia="Arial" w:cs="Arial"/>
          <w:b/>
          <w:bCs/>
          <w:color w:val="004295"/>
          <w:sz w:val="24"/>
          <w:szCs w:val="24"/>
          <w:lang w:val="en-US" w:eastAsia="en-US" w:bidi="en-US"/>
        </w:rPr>
        <w:t xml:space="preserve">Situational Judgement Test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you meet the minimum eligibility criteria, you will be invited to sit an online situational judgement test (SJT). This is a values based assessment, aligned to the SPS values. The test will give you an insight into different situations you may be faced with as a Prison Officer.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You will be presented with 17 situations or scenarios, and you are required to choose from a list of options, which response you believe would be most effective and least effective in the given situation.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Some things to note about this stage: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There is no time limit within the test, however you should allow around 30 minutes to complete this.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Once you click ‘Save your answer’ you won’t be able to go back and change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You will have to complete the test in one sitting.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Once invited to undertake the test, you will have five days to complete the assessment.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Following completion of the test you will receive the outcome within around two hours.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r>
        <w:rPr>
          <w:rFonts w:ascii="Arial" w:hAnsi="Arial" w:eastAsia="Arial" w:cs="Arial"/>
          <w:b/>
          <w:bCs/>
          <w:color w:val="004295"/>
          <w:sz w:val="24"/>
          <w:szCs w:val="24"/>
          <w:lang w:val="en-US" w:eastAsia="en-US" w:bidi="en-US"/>
        </w:rPr>
        <w:t xml:space="preserve">Congitive Ability Test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successful at the SJT stage you will be invited to take an online cognitive ability test. The test will be made up of three sub tests and will last 12 minutes in total. The test will assess your general cognitive ability across three areas: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Verbal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Numerical; and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Abstract reasoning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r>
        <w:rPr>
          <w:rFonts w:ascii="Arial" w:hAnsi="Arial" w:eastAsia="Arial" w:cs="Arial"/>
          <w:sz w:val="22"/>
          <w:szCs w:val="22"/>
          <w:lang w:val="en-GB" w:eastAsia="en-GB" w:bidi="en-GB"/>
        </w:rPr>
        <w:t xml:space="preserve">You will have four minutes to complete each test. The tests are designed to assess your ability to understand written and numerical information and to draw logical conclusions.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As the cognitive ability test is completed in unsupervised conditions (i.e. in your own time), you should be aware that if invited to the interview stage of the process, you may be invited to complete a second online assessment under supervised conditions (i.e. onsite at SPS).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use a company called Cubiks for our assessment. You can access some practice questions on their website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US" w:eastAsia="en-US" w:bidi="en-US"/>
        </w:rPr>
      </w:pPr>
      <w:r>
        <w:rPr>
          <w:rStyle w:val="Hyperlink"/>
          <w:rFonts w:ascii="Arial" w:hAnsi="Arial" w:eastAsia="Arial" w:cs="Arial"/>
          <w:sz w:val="22"/>
          <w:szCs w:val="22"/>
          <w:lang w:val="en-GB" w:eastAsia="en-GB" w:bidi="en-GB"/>
        </w:rPr>
        <w:fldChar w:fldCharType="begin"/>
      </w:r>
      <w:r>
        <w:rPr>
          <w:rStyle w:val="Hyperlink"/>
          <w:rFonts w:ascii="Arial" w:hAnsi="Arial" w:eastAsia="Arial" w:cs="Arial"/>
          <w:sz w:val="22"/>
          <w:szCs w:val="22"/>
          <w:lang w:val="en-GB" w:eastAsia="en-GB" w:bidi="en-GB"/>
        </w:rPr>
        <w:instrText xml:space="preserve"> HYPERLINK "https://practicetests.cubiks.com/ability-tests/intermediate" </w:instrText>
      </w:r>
      <w:r>
        <w:rPr>
          <w:rStyle w:val="Hyperlink"/>
          <w:rFonts w:ascii="Arial" w:hAnsi="Arial" w:eastAsia="Arial" w:cs="Arial"/>
          <w:sz w:val="22"/>
          <w:szCs w:val="22"/>
          <w:lang w:val="en-GB" w:eastAsia="en-GB" w:bidi="en-GB"/>
        </w:rPr>
        <w:fldChar w:fldCharType="separate"/>
      </w:r>
      <w:r>
        <w:rPr>
          <w:rStyle w:val="Hyperlink"/>
          <w:rFonts w:ascii="Arial" w:hAnsi="Arial" w:eastAsia="Arial" w:cs="Arial"/>
          <w:sz w:val="22"/>
          <w:szCs w:val="22"/>
          <w:lang w:val="en-GB" w:eastAsia="en-GB" w:bidi="en-GB"/>
        </w:rPr>
        <w:t xml:space="preserve">Ability Tests (Intermediate) | Talogy (cubiks.com)</w:t>
      </w:r>
      <w:r>
        <w:rPr>
          <w:rFonts w:ascii="Arial" w:hAnsi="Arial" w:eastAsia="Arial" w:cs="Arial"/>
          <w:sz w:val="22"/>
          <w:szCs w:val="22"/>
          <w:lang w:val="en-US" w:eastAsia="en-US" w:bidi="en-US"/>
        </w:rPr>
        <w:fldChar w:fldCharType="end"/>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r>
        <w:rPr>
          <w:rFonts w:ascii="Arial" w:hAnsi="Arial" w:eastAsia="Arial" w:cs="Arial"/>
          <w:b/>
          <w:bCs/>
          <w:color w:val="004295"/>
          <w:sz w:val="24"/>
          <w:szCs w:val="24"/>
          <w:lang w:val="en-US" w:eastAsia="en-US" w:bidi="en-US"/>
        </w:rPr>
        <w:t xml:space="preserve">Interview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If successful at the Cognitive Ability Test, you will be invited to attend an interview. You’ll receive an invitation via your online recruitment account asking you to book a suitable slot. Don’t worry if there isn’t a suitable one available initially; we regularly release more slots.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interview will take place on Microsoft Teams, and there will be up to three assessors present. The interview will last for approximately one hour.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Each panel member will take a turn to ask questions. They will work through questions covering five areas: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Develop Ourselves &amp;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Working with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Following Processes and Procedures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Influencing the Behaviour of Others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 Solve Problems &amp; Make Decisions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At the beginning of the interview, the panel will also ask some questions to find out a bit more about your career history and skills relevant to the role applied for.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panel will provide you with some context about why each competency is relevant to the role. You’ll be asked a lead question first, followed by prompting questions. Don't be put off if you are asked a few prompting questions. This is to ensure the panel gains full insight into the example provided.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will be looking for specific examples, so you should avoid using generic examples. We want to know what you did, how you did it, and what the outcome was.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are happy for you to use some prompting notes on the day. However, please try to refrain from over reliance on 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After the interview, the panel will carry out an evaluation and will provide a score against the evidence provided for each competency. This score will be based on the evidence provided by you during the interview.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You'll receive the outcome via your online recruitment account, usually within two working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r>
        <w:rPr>
          <w:rFonts w:ascii="Arial" w:hAnsi="Arial" w:eastAsia="Arial" w:cs="Arial"/>
          <w:b/>
          <w:bCs/>
          <w:color w:val="004295"/>
          <w:sz w:val="24"/>
          <w:szCs w:val="24"/>
          <w:lang w:val="en-US" w:eastAsia="en-US" w:bidi="en-US"/>
        </w:rPr>
        <w:t xml:space="preserve">Pre-employment Checks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final stage before appointment is the pre-employment checks. Due to the nature of our organisation, the standards we set are at times considerably higher than those that might be expected in other organisations. On average, pre-employment checks will usually take 6-8 weeks to fully complete.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Further information on pre-employment checks can be found</w:t>
      </w:r>
      <w:r>
        <w:rPr>
          <w:rStyle w:val="Hyperlink"/>
          <w:rFonts w:ascii="Arial" w:hAnsi="Arial" w:eastAsia="Arial" w:cs="Arial"/>
          <w:color w:val="auto"/>
          <w:sz w:val="22"/>
          <w:szCs w:val="22"/>
          <w:lang w:val="en-GB" w:eastAsia="en-GB" w:bidi="en-GB"/>
        </w:rPr>
        <w:fldChar w:fldCharType="begin"/>
      </w:r>
      <w:r>
        <w:rPr>
          <w:rStyle w:val="Hyperlink"/>
          <w:rFonts w:ascii="Arial" w:hAnsi="Arial" w:eastAsia="Arial" w:cs="Arial"/>
          <w:color w:val="auto"/>
          <w:sz w:val="22"/>
          <w:szCs w:val="22"/>
          <w:lang w:val="en-GB" w:eastAsia="en-GB" w:bidi="en-GB"/>
        </w:rPr>
        <w:instrText xml:space="preserve"> HYPERLINK "https://www.sps.gov.uk/pre-employment-checks" </w:instrText>
      </w:r>
      <w:r>
        <w:rPr>
          <w:rStyle w:val="Hyperlink"/>
          <w:rFonts w:ascii="Arial" w:hAnsi="Arial" w:eastAsia="Arial" w:cs="Arial"/>
          <w:color w:val="auto"/>
          <w:sz w:val="22"/>
          <w:szCs w:val="22"/>
          <w:lang w:val="en-GB" w:eastAsia="en-GB" w:bidi="en-GB"/>
        </w:rPr>
        <w:fldChar w:fldCharType="separate"/>
      </w:r>
      <w:r>
        <w:rPr>
          <w:rStyle w:val="Hyperlink"/>
          <w:rFonts w:ascii="Arial" w:hAnsi="Arial" w:eastAsia="Arial" w:cs="Arial"/>
          <w:color w:val="auto"/>
          <w:sz w:val="22"/>
          <w:szCs w:val="22"/>
          <w:lang w:val="en-GB" w:eastAsia="en-GB" w:bidi="en-GB"/>
        </w:rPr>
        <w:t xml:space="preserve"> here</w:t>
      </w:r>
      <w:r>
        <w:rPr>
          <w:rFonts w:ascii="Arial" w:hAnsi="Arial" w:eastAsia="Arial" w:cs="Arial"/>
          <w:sz w:val="22"/>
          <w:szCs w:val="22"/>
          <w:lang w:val="en-GB" w:eastAsia="en-GB" w:bidi="en-GB"/>
        </w:rPr>
        <w:fldChar w:fldCharType="end"/>
      </w:r>
      <w:r>
        <w:rPr>
          <w:rFonts w:ascii="Arial" w:hAnsi="Arial" w:eastAsia="Arial" w:cs="Arial"/>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color w:val="004295"/>
          <w:sz w:val="24"/>
          <w:szCs w:val="24"/>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b/>
          <w:bCs/>
          <w:sz w:val="22"/>
          <w:szCs w:val="22"/>
          <w:lang w:val="en-US" w:eastAsia="en-US" w:bidi="en-US"/>
        </w:rPr>
      </w:pPr>
      <w:r>
        <w:rPr>
          <w:rFonts w:ascii="Arial" w:hAnsi="Arial" w:eastAsia="Arial" w:cs="Arial"/>
          <w:b/>
          <w:bCs/>
          <w:color w:val="004295"/>
          <w:sz w:val="24"/>
          <w:szCs w:val="24"/>
          <w:lang w:val="en-US" w:eastAsia="en-US" w:bidi="en-US"/>
        </w:rPr>
        <w:t xml:space="preserve">Assignment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Following successful pre-employment checks you will be allocated a place on one of our Officer Foundation Training courses. Your first week will be based at the establishment you are assigned to, followed by six weeks at our training facility in Falkirk.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We have Officer Foundation Programme training intakes planned for 2026 and 2027.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The planned start dates for these intakes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Arial" w:hAnsi="Arial" w:eastAsia="Arial" w:cs="Arial"/>
          <w:b/>
          <w:bCs/>
          <w:sz w:val="22"/>
          <w:szCs w:val="22"/>
          <w:lang w:val="en-GB" w:eastAsia="en-GB" w:bidi="en-GB"/>
        </w:rPr>
      </w:pP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19/10/2026</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11/01/2027</w:t>
      </w:r>
    </w:p>
    <w:p>
      <w:pPr>
        <w:pStyle w:val="ListParagraph"/>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hanging="36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23/03/2027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rPr>
          <w:rFonts w:ascii="Arial" w:hAnsi="Arial" w:eastAsia="Arial" w:cs="Arial"/>
          <w:b/>
          <w:bCs/>
          <w:sz w:val="22"/>
          <w:szCs w:val="22"/>
          <w:lang w:val="en-GB" w:eastAsia="en-GB" w:bidi="en-GB"/>
        </w:rPr>
      </w:pPr>
      <w:r>
        <w:rPr>
          <w:rFonts w:ascii="Arial" w:hAnsi="Arial" w:eastAsia="Arial" w:cs="Arial"/>
          <w:b/>
          <w:bCs/>
          <w:sz w:val="22"/>
          <w:szCs w:val="22"/>
          <w:lang w:val="en-GB" w:eastAsia="en-GB" w:bidi="en-GB"/>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eastAsia="Arial" w:cs="Arial"/>
          <w:sz w:val="22"/>
          <w:szCs w:val="22"/>
          <w:lang w:val="en-GB" w:eastAsia="en-GB" w:bidi="en-GB"/>
        </w:rPr>
      </w:pPr>
      <w:r>
        <w:rPr>
          <w:rFonts w:ascii="Arial" w:hAnsi="Arial" w:eastAsia="Arial" w:cs="Arial"/>
          <w:sz w:val="22"/>
          <w:szCs w:val="22"/>
          <w:lang w:val="en-GB" w:eastAsia="en-GB" w:bidi="en-GB"/>
        </w:rPr>
        <w:t xml:space="preserve">You will be assigned to a specific establishment which will be your primary place of work following the training. We will collect preferences of where you may like to be assigned, however we cannot make any guarantees, as offers of employment are subject to business need. We will, however, try to assign you to a prison within 30 miles of your home address.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ascii="Arial" w:hAnsi="Arial" w:eastAsia="Arial" w:cs="Arial"/>
          <w:sz w:val="22"/>
          <w:szCs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20"/>
        <w:jc w:val="center"/>
        <w:rPr>
          <w:rFonts w:ascii="Arial" w:hAnsi="Arial" w:eastAsia="Arial" w:cs="Arial"/>
          <w:sz w:val="22"/>
          <w:szCs w:val="22"/>
          <w:lang w:val="en-US" w:eastAsia="en-US" w:bidi="en-US"/>
        </w:rPr>
      </w:pPr>
      <w:r>
        <w:drawing>
          <wp:anchor distT="0" distB="0" distL="114300" distR="114300" simplePos="0" relativeHeight="251663359" behindDoc="0" locked="0" layoutInCell="1" hidden="0" allowOverlap="1">
            <wp:simplePos x="0" y="0"/>
            <wp:positionH relativeFrom="column">
              <wp:posOffset>2286000</wp:posOffset>
            </wp:positionH>
            <wp:positionV relativeFrom="paragraph">
              <wp:posOffset>52070</wp:posOffset>
            </wp:positionV>
            <wp:extent cx="676275" cy="561975"/>
            <wp:wrapSquare wrapText="bothSides"/>
            <wp:docPr id="5" name="_tx_id_1_Picture 1"/>
            <a:graphic xmlns:a="http://schemas.openxmlformats.org/drawingml/2006/main">
              <a:graphicData uri="http://schemas.openxmlformats.org/drawingml/2006/picture">
                <pic:pic xmlns:pic="http://schemas.openxmlformats.org/drawingml/2006/picture">
                  <pic:nvPicPr>
                    <pic:cNvPr id="0" name="Image 5"/>
                    <pic:cNvPicPr/>
                  </pic:nvPicPr>
                  <pic:blipFill>
                    <a:blip r:embed="rId00008"/>
                    <a:stretch>
                      <a:fillRect/>
                    </a:stretch>
                  </pic:blipFill>
                  <pic:spPr>
                    <a:xfrm>
                      <a:off x="0" y="0"/>
                      <a:ext cx="676275" cy="561975"/>
                    </a:xfrm>
                    <a:prstGeom prst="rect">
                      <a:avLst/>
                    </a:prstGeom>
                  </pic:spPr>
                </pic:pic>
              </a:graphicData>
            </a:graphic>
          </wp:anchor>
        </w:drawing>
      </w:r>
      <w:r>
        <w:drawing>
          <wp:anchor distT="0" distB="0" distL="114300" distR="114300" simplePos="0" relativeHeight="251665407" behindDoc="1" locked="0" layoutInCell="1" hidden="0" allowOverlap="1">
            <wp:simplePos x="0" y="0"/>
            <wp:positionH relativeFrom="column">
              <wp:posOffset>1000125</wp:posOffset>
            </wp:positionH>
            <wp:positionV relativeFrom="paragraph">
              <wp:posOffset>95250</wp:posOffset>
            </wp:positionV>
            <wp:extent cx="923925" cy="485775"/>
            <wp:wrapNone/>
            <wp:docPr id="6" name="Picture 5"/>
            <a:graphic xmlns:a="http://schemas.openxmlformats.org/drawingml/2006/main">
              <a:graphicData uri="http://schemas.openxmlformats.org/drawingml/2006/picture">
                <pic:pic xmlns:pic="http://schemas.openxmlformats.org/drawingml/2006/picture">
                  <pic:nvPicPr>
                    <pic:cNvPr id="0" name="Image 6"/>
                    <pic:cNvPicPr/>
                  </pic:nvPicPr>
                  <pic:blipFill>
                    <a:blip r:embed="rId00009"/>
                    <a:stretch>
                      <a:fillRect/>
                    </a:stretch>
                  </pic:blipFill>
                  <pic:spPr>
                    <a:xfrm>
                      <a:off x="0" y="0"/>
                      <a:ext cx="923925" cy="485775"/>
                    </a:xfrm>
                    <a:prstGeom prst="rect">
                      <a:avLst/>
                    </a:prstGeom>
                  </pic:spPr>
                </pic:pic>
              </a:graphicData>
            </a:graphic>
          </wp:anchor>
        </w:drawing>
      </w:r>
      <w:r>
        <w:drawing>
          <wp:anchor distT="0" distB="0" distL="114300" distR="114300" simplePos="0" relativeHeight="251659263" behindDoc="0" locked="0" layoutInCell="1" hidden="0" allowOverlap="1">
            <wp:simplePos x="0" y="0"/>
            <wp:positionH relativeFrom="column">
              <wp:posOffset>0</wp:posOffset>
            </wp:positionH>
            <wp:positionV relativeFrom="paragraph">
              <wp:posOffset>81915</wp:posOffset>
            </wp:positionV>
            <wp:extent cx="762000" cy="552450"/>
            <wp:wrapSquare wrapText="bothSides"/>
            <wp:docPr id="7" name="Picture 8"/>
            <a:graphic xmlns:a="http://schemas.openxmlformats.org/drawingml/2006/main">
              <a:graphicData uri="http://schemas.openxmlformats.org/drawingml/2006/picture">
                <pic:pic xmlns:pic="http://schemas.openxmlformats.org/drawingml/2006/picture">
                  <pic:nvPicPr>
                    <pic:cNvPr id="0" name="Image 7"/>
                    <pic:cNvPicPr/>
                  </pic:nvPicPr>
                  <pic:blipFill>
                    <a:blip r:embed="rId00010"/>
                    <a:stretch>
                      <a:fillRect/>
                    </a:stretch>
                  </pic:blipFill>
                  <pic:spPr>
                    <a:xfrm>
                      <a:off x="0" y="0"/>
                      <a:ext cx="762000" cy="552450"/>
                    </a:xfrm>
                    <a:prstGeom prst="rect">
                      <a:avLst/>
                    </a:prstGeom>
                  </pic:spPr>
                </pic:pic>
              </a:graphicData>
            </a:graphic>
          </wp:anchor>
        </w:drawing>
      </w:r>
      <w:r>
        <w:drawing>
          <wp:anchor distT="0" distB="0" distL="114300" distR="114300" simplePos="0" relativeHeight="251664383" behindDoc="1" locked="0" layoutInCell="1" hidden="0" allowOverlap="1">
            <wp:simplePos x="0" y="0"/>
            <wp:positionH relativeFrom="column">
              <wp:posOffset>4645660</wp:posOffset>
            </wp:positionH>
            <wp:positionV relativeFrom="paragraph">
              <wp:posOffset>83820</wp:posOffset>
            </wp:positionV>
            <wp:extent cx="812800" cy="629920"/>
            <wp:wrapNone/>
            <wp:docPr id="8" name="Picture 9"/>
            <a:graphic xmlns:a="http://schemas.openxmlformats.org/drawingml/2006/main">
              <a:graphicData uri="http://schemas.openxmlformats.org/drawingml/2006/picture">
                <pic:pic xmlns:pic="http://schemas.openxmlformats.org/drawingml/2006/picture">
                  <pic:nvPicPr>
                    <pic:cNvPr id="0" name="Image 8"/>
                    <pic:cNvPicPr/>
                  </pic:nvPicPr>
                  <pic:blipFill>
                    <a:blip r:embed="rId00011"/>
                    <a:stretch>
                      <a:fillRect/>
                    </a:stretch>
                  </pic:blipFill>
                  <pic:spPr>
                    <a:xfrm>
                      <a:off x="0" y="0"/>
                      <a:ext cx="812800" cy="629920"/>
                    </a:xfrm>
                    <a:prstGeom prst="rect">
                      <a:avLst/>
                    </a:prstGeom>
                  </pic:spPr>
                </pic:pic>
              </a:graphicData>
            </a:graphic>
          </wp:anchor>
        </w:drawing>
      </w:r>
      <w:r>
        <w:drawing>
          <wp:anchor distT="0" distB="0" distL="114300" distR="114300" simplePos="0" relativeHeight="251662335" behindDoc="0" locked="0" layoutInCell="1" hidden="0" allowOverlap="1">
            <wp:simplePos x="0" y="0"/>
            <wp:positionH relativeFrom="column">
              <wp:posOffset>3359150</wp:posOffset>
            </wp:positionH>
            <wp:positionV relativeFrom="paragraph">
              <wp:posOffset>80010</wp:posOffset>
            </wp:positionV>
            <wp:extent cx="857250" cy="523875"/>
            <wp:wrapSquare wrapText="bothSides"/>
            <wp:docPr id="9" name="Picture 7"/>
            <a:graphic xmlns:a="http://schemas.openxmlformats.org/drawingml/2006/main">
              <a:graphicData uri="http://schemas.openxmlformats.org/drawingml/2006/picture">
                <pic:pic xmlns:pic="http://schemas.openxmlformats.org/drawingml/2006/picture">
                  <pic:nvPicPr>
                    <pic:cNvPr id="0" name="Image 9"/>
                    <pic:cNvPicPr/>
                  </pic:nvPicPr>
                  <pic:blipFill>
                    <a:blip r:embed="rId00012"/>
                    <a:stretch>
                      <a:fillRect/>
                    </a:stretch>
                  </pic:blipFill>
                  <pic:spPr>
                    <a:xfrm>
                      <a:off x="0" y="0"/>
                      <a:ext cx="857250" cy="523875"/>
                    </a:xfrm>
                    <a:prstGeom prst="rect">
                      <a:avLst/>
                    </a:prstGeom>
                  </pic:spPr>
                </pic:pic>
              </a:graphicData>
            </a:graphic>
          </wp:anchor>
        </w:drawing>
      </w:r>
    </w:p>
    <w:sectPr>
      <w:headerReference w:type="default" r:id="rId00013"/>
      <w:footerReference w:type="default" r:id="rId00014"/>
      <w:pgSz w:w="11906" w:h="16838"/>
      <w:pgMar w:top="1440" w:right="1440" w:bottom="1440" w:left="1440" w:header="708" w:footer="708"/>
      <w15:footnoteColumns w:val="1"/>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Trebuchet MS">
    <w:panose1 w:val="020B0603020202020204"/>
    <w:charset w:val="00"/>
    <w:family w:val="swiss"/>
    <w:pitch w:val="variable"/>
    <w:sig w:usb0="00000687" w:usb1="00000000" w:usb2="00000000" w:usb3="00000000" w:csb0="2000009F" w:csb1="00000000"/>
  </w:font>
  <w:font w:name="Calibri Light">
    <w:panose1 w:val="020F0302020204030204"/>
    <w:charset w:val="00"/>
    <w:family w:val="swiss"/>
    <w:pitch w:val="variable"/>
    <w:sig w:usb0="E4002EFF" w:usb1="C000247B" w:usb2="00000009" w:usb3="00000000" w:csb0="200001FF" w:csb1="00000000"/>
  </w:font>
  <w:font w:name="Segoe UI">
    <w:panose1 w:val="020B0502040204020203"/>
    <w:charset w:val="00"/>
    <w:family w:val="swiss"/>
    <w:pitch w:val="variable"/>
    <w:sig w:usb0="E4002EFF" w:usb1="C000E47F" w:usb2="00000009" w:usb3="00000000" w:csb0="200001FF" w:csb1="00000000"/>
  </w:font>
  <w:font w:name="Calibri">
    <w:panose1 w:val="020F0502020204030204"/>
    <w:charset w:val="00"/>
    <w:family w:val="swiss"/>
    <w:pitch w:val="variable"/>
    <w:sig w:usb0="E4002EFF" w:usb1="C000247B" w:usb2="00000009" w:usb3="00000000" w:csb0="200001FF" w:csb1="00000000"/>
  </w:font>
  <w:font w:name="Cambria Math">
    <w:panose1 w:val="02040503050406030204"/>
    <w:charset w:val="00"/>
    <w:family w:val="roman"/>
    <w:pitch w:val="variable"/>
    <w:sig w:usb0="E00006FF" w:usb1="420024FF" w:usb2="02000000" w:usb3="00000000" w:csb0="2000019F" w:csb1="00000000"/>
  </w:font>
</w:fonts>
</file>

<file path=word/footer0001.xml><?xml version="1.0" encoding="utf-8"?>
<w:ft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Footer"/>
      <w:rPr>
        <w:lang w:val="en-GB" w:eastAsia="en-GB" w:bidi="en-GB"/>
      </w:rPr>
    </w:pPr>
    <w:r>
      <w:rPr>
        <w:lang w:val="en-GB" w:eastAsia="en-GB" w:bidi="en-GB"/>
      </w:rPr>
      <w:t xml:space="preserve">V1 – March 2026</w:t>
    </w:r>
  </w:p>
  <w:p>
    <w:pPr>
      <w:pStyle w:val="Footer"/>
      <w:rPr>
        <w:lang w:val="en-GB" w:eastAsia="en-GB" w:bidi="en-GB"/>
      </w:rPr>
    </w:pPr>
  </w:p>
</w:ftr>
</file>

<file path=word/header0001.xml><?xml version="1.0" encoding="utf-8"?>
<w:hdr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mc="http://schemas.openxmlformats.org/markup-compatibility/2006" xmlns:w14="http://schemas.microsoft.com/office/word/2010/wordml" xmlns:wpc="http://schemas.microsoft.com/office/word/2010/wordprocessingCanvas" xmlns:wpg="http://schemas.microsoft.com/office/word/2010/wordprocessingGroup" xmlns:wps="http://schemas.microsoft.com/office/word/2010/wordprocessingShape" xmlns:w15="http://schemas.microsoft.com/office/word/2012/wordml" xmlns:w16du="http://schemas.microsoft.com/office/word/2023/wordml/word16du" xmlns:tx19="http://schemas.textcontrol.com/tx/1900" xmlns:tx23="http://schemas.textcontrol.com/tx/2300" xmlns:tx26="http://schemas.textcontrol.com/tx/2600" mc:Ignorable="w14 wpc wpg wps w15 w16du tx19 tx23 tx26">
  <w:p>
    <w:pPr>
      <w:pStyle w:val="Header"/>
      <w:rPr>
        <w:lang w:val="en-GB" w:eastAsia="en-GB" w:bidi="en-GB"/>
      </w:rPr>
    </w:pPr>
    <w:r>
      <w:pict>
        <v:shape id="MSIPCMae7f439889f420187b28b342" coordsize="21600,21600" o:spt="202" path="m,l,21600r21600,l21600,xe" fillcolor="#FFFFFF" stroked="f" strokeweight="0" style="width:595.3pt;height:21.5pt;position:absolute;margin-left:0pt;margin-top:15pt;z-index:251659264;mso-wrap-distance-right:114300;mso-wrap-distance-left:114300;mso-position-horizontal-relative:page;mso-position-vertical-relative:page;">
          <v:fill opacity="0"/>
          <v:stroke joinstyle="miter"/>
          <v:path gradientshapeok="t" o:connecttype="rect"/>
          <v:textbox inset="20pt,0pt,7.2pt,0pt">
            <w:txbxContent>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Calibri" w:hAnsi="Calibri" w:eastAsia="Calibri" w:cs="Calibri"/>
                    <w:color w:val="000000"/>
                    <w:sz w:val="24"/>
                    <w:szCs w:val="24"/>
                    <w:lang w:val="en-GB" w:eastAsia="en-GB" w:bidi="en-GB"/>
                  </w:rPr>
                </w:pPr>
                <w:r>
                  <w:rPr>
                    <w:rFonts w:ascii="Calibri" w:hAnsi="Calibri" w:eastAsia="Calibri" w:cs="Calibri"/>
                    <w:color w:val="000000"/>
                    <w:sz w:val="24"/>
                    <w:szCs w:val="24"/>
                    <w:lang w:val="en-GB" w:eastAsia="en-GB" w:bidi="en-GB"/>
                  </w:rPr>
                  <w:t xml:space="preserve">OFFICIAL</w:t>
                </w:r>
              </w:p>
            </w:txbxContent>
          </v:textbox>
          <w10:wrap type="none"/>
        </v:shape>
      </w:pict>
    </w:r>
  </w:p>
</w:hdr>
</file>

<file path=word/numbering.xml><?xml version="1.0" encoding="utf-8"?>
<w:numbering xmlns:w="http://schemas.openxmlformats.org/wordprocessingml/2006/main">
  <w:abstractNum w:abstractNumId="0">
    <w:multiLevelType w:val="singleLevel"/>
    <w:lvl w:ilvl="0">
      <w:start w:val="1"/>
      <w:numFmt w:val="bullet"/>
      <w:suff w:val="tab"/>
      <w:lvlText w:val=""/>
      <w:pPr>
        <w:ind w:left="720" w:hanging="360"/>
        <w:tabs>
          <w:tab w:val="num" w:pos="720"/>
        </w:tabs>
      </w:pPr>
      <w:rPr>
        <w:rFonts w:hint="default" w:ascii="Symbol" w:hAnsi="Symbol" w:eastAsia="Symbol" w:cs="Symbol"/>
        <w:b w:val="off"/>
        <w:i w:val="off"/>
        <w:strike w:val="off"/>
        <w:color w:val="auto"/>
        <w:position w:val="0"/>
        <w:sz w:val="22"/>
        <w:u w:val="none"/>
        <w:shd w:val="clear" w:color="auto" w:fill="auto"/>
      </w:rPr>
    </w:lvl>
  </w:abstractNum>
  <w:abstractNum w:abstractNumId="1">
    <w:multiLevelType w:val="singleLevel"/>
    <w:lvl w:ilvl="0">
      <w:start w:val="1"/>
      <w:numFmt w:val="bullet"/>
      <w:suff w:val="tab"/>
      <w:lvlText w:val=""/>
      <w:pPr>
        <w:ind w:left="720" w:hanging="360"/>
        <w:tabs>
          <w:tab w:val="num" w:pos="720"/>
        </w:tabs>
      </w:pPr>
      <w:rPr>
        <w:rFonts w:hint="default" w:ascii="Symbol" w:hAnsi="Symbol" w:eastAsia="Symbol" w:cs="Symbol"/>
        <w:b w:val="on"/>
        <w:i w:val="off"/>
        <w:strike w:val="off"/>
        <w:color w:val="auto"/>
        <w:position w:val="0"/>
        <w:sz w:val="22"/>
        <w:u w:val="none"/>
        <w:shd w:val="clear" w:color="auto" w:fill="auto"/>
      </w:rPr>
    </w:lvl>
  </w:abstractNum>
  <w:num w:numId="1">
    <w:abstractNumId w:val="0"/>
  </w:num>
  <w:num w:numId="2">
    <w:abstractNumId w:val="1"/>
  </w:num>
</w:numbering>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defaultTabStop w:val="1134"/>
  <w:compat>
    <w:noExtraLineSpacing/>
    <w:doNotUseHTMLParagraphAutoSpacing/>
    <w:compatSetting w:name="compatibilityMode" w:uri="http://schemas.microsoft.com/office/word" w:val="15"/>
  </w:compat>
  <tx24:txVer tx24:val="32.0.434.500"/>
</w:settings>
</file>

<file path=word/styles.xml><?xml version="1.0" encoding="utf-8"?>
<w:styles xmlns:w="http://schemas.openxmlformats.org/wordprocessingml/2006/main">
  <w:docDefaults>
    <w:rPrDefault>
      <w:rPr>
        <w:rFonts w:ascii="Arial"/>
        <w:sz w:val="24"/>
      </w:rPr>
    </w:rPrDefault>
  </w:docDefaults>
  <w:style w:type="paragraph" w:styleId="[Normal]" w:customStyle="1">
    <w:name w:val="[Normal]"/>
    <w:basedOn w:val="Normal"/>
    <w:next w:val="[Normal]"/>
    <w:qFormat/>
    <w:pPr>
      <w:widowControl w:val="off"/>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hAnsi="Arial" w:eastAsia="Arial" w:cs="Arial"/>
      <w:lang w:val="en-GB" w:eastAsia="en-GB" w:bidi="en-GB"/>
    </w:rPr>
  </w:style>
  <w:style w:type="paragraph" w:styleId="Normal">
    <w:name w:val="Normal"/>
    <w:next w:val="Normal"/>
    <w:qFormat/>
    <w:pPr>
      <w:widowControl w:val="on"/>
      <w:shd w:val="clear" w:color="auto" w:fill="auto"/>
      <w:spacing w:before="0" w:after="0" w:line="240" w:lineRule="auto"/>
      <w:ind w:left="0" w:right="0" w:firstLine="0"/>
      <w:jc w:val="left"/>
      <w:outlineLvl w:val="9"/>
    </w:pPr>
    <w:rPr>
      <w:rFonts w:ascii="Trebuchet MS" w:hAnsi="Trebuchet MS" w:eastAsia="Trebuchet MS" w:cs="Trebuchet MS"/>
      <w:b w:val="off"/>
      <w:bCs w:val="off"/>
      <w:i w:val="off"/>
      <w:iCs w:val="off"/>
      <w:caps w:val="off"/>
      <w:smallCaps w:val="off"/>
      <w:strike w:val="off"/>
      <w:color w:val="auto"/>
      <w:spacing w:val="0"/>
      <w:w w:val="100"/>
      <w:position w:val="0"/>
      <w:sz w:val="20"/>
      <w:szCs w:val="20"/>
      <w:shd w:val="clear" w:color="auto" w:fill="auto"/>
      <w:vertAlign w:val="baseline"/>
      <w:rtl w:val="off"/>
      <w:lang w:val="en-GB" w:eastAsia="en-GB" w:bidi="en-GB"/>
    </w:rPr>
  </w:style>
  <w:style w:type="paragraph" w:styleId="Header">
    <w:name w:val="header"/>
    <w:basedOn w:val="Normal"/>
    <w:next w:val="Header"/>
    <w:qFormat/>
    <w:pPr>
      <w:tabs>
        <w:tab w:val="center" w:pos="4513"/>
        <w:tab w:val="right" w:pos="9026"/>
      </w:tabs>
    </w:pPr>
    <w:rPr>
      <w:lang w:val="en-GB" w:eastAsia="en-GB" w:bidi="en-GB"/>
    </w:rPr>
  </w:style>
  <w:style w:type="paragraph" w:styleId="Footer">
    <w:name w:val="footer"/>
    <w:basedOn w:val="Normal"/>
    <w:next w:val="Footer"/>
    <w:qFormat/>
    <w:pPr>
      <w:tabs>
        <w:tab w:val="center" w:pos="4513"/>
        <w:tab w:val="right" w:pos="9026"/>
      </w:tabs>
    </w:pPr>
    <w:rPr>
      <w:lang w:val="en-GB" w:eastAsia="en-GB" w:bidi="en-GB"/>
    </w:rPr>
  </w:style>
  <w:style w:type="paragraph" w:styleId="Heading1">
    <w:name w:val="heading 1"/>
    <w:basedOn w:val="Normal"/>
    <w:next w:val="Normal"/>
    <w:qFormat/>
    <w:pPr>
      <w:keepNext/>
      <w:keepLines/>
      <w:spacing w:before="240"/>
      <w:outlineLvl w:val="0"/>
    </w:pPr>
    <w:rPr>
      <w:rFonts w:ascii="Calibri Light" w:hAnsi="Calibri Light" w:eastAsia="Calibri Light" w:cs="Calibri Light"/>
      <w:color w:val="2E75B5"/>
      <w:sz w:val="32"/>
      <w:szCs w:val="32"/>
      <w:lang w:val="en-GB" w:eastAsia="en-GB" w:bidi="en-GB"/>
    </w:rPr>
  </w:style>
  <w:style w:type="paragraph" w:styleId="ListParagraph">
    <w:name w:val="List Paragraph"/>
    <w:basedOn w:val="Normal"/>
    <w:next w:val="ListParagraph"/>
    <w:qFormat/>
    <w:pPr>
      <w:ind w:left="720"/>
    </w:pPr>
    <w:rPr>
      <w:lang w:val="en-GB" w:eastAsia="en-GB" w:bidi="en-GB"/>
    </w:rPr>
  </w:style>
  <w:style w:type="character" w:styleId="CommentReference">
    <w:name w:val="annotation reference"/>
    <w:qFormat/>
    <w:rPr>
      <w:sz w:val="16"/>
      <w:szCs w:val="16"/>
      <w:rtl w:val="off"/>
    </w:rPr>
  </w:style>
  <w:style w:type="paragraph" w:styleId="CommentText">
    <w:name w:val="annotation text"/>
    <w:basedOn w:val="Normal"/>
    <w:next w:val="CommentText"/>
    <w:qFormat/>
    <w:pPr/>
    <w:rPr>
      <w:lang w:val="en-GB" w:eastAsia="en-GB" w:bidi="en-GB"/>
    </w:rPr>
  </w:style>
  <w:style w:type="paragraph" w:styleId="CommentSubject">
    <w:name w:val="annotation subject"/>
    <w:basedOn w:val="CommentText"/>
    <w:next w:val="CommentText"/>
    <w:qFormat/>
    <w:pPr/>
    <w:rPr>
      <w:b/>
      <w:bCs/>
      <w:lang w:val="en-GB" w:eastAsia="en-GB" w:bidi="en-GB"/>
    </w:rPr>
  </w:style>
  <w:style w:type="character" w:styleId="Comment Text Char" w:customStyle="1">
    <w:name w:val="Comment Text Char"/>
    <w:qFormat/>
    <w:rPr>
      <w:rFonts w:ascii="Trebuchet MS" w:hAnsi="Trebuchet MS" w:eastAsia="Trebuchet MS" w:cs="Trebuchet MS"/>
      <w:sz w:val="20"/>
      <w:szCs w:val="20"/>
      <w:rtl w:val="off"/>
      <w:lang w:val="en-GB" w:eastAsia="en-GB" w:bidi="en-GB"/>
    </w:rPr>
  </w:style>
  <w:style w:type="character" w:styleId="Comment Subject Char" w:customStyle="1">
    <w:name w:val="Comment Subject Char"/>
    <w:basedOn w:val="Comment Text Char"/>
    <w:qFormat/>
    <w:rPr>
      <w:rFonts w:ascii="Trebuchet MS" w:hAnsi="Trebuchet MS" w:eastAsia="Trebuchet MS" w:cs="Trebuchet MS"/>
      <w:b/>
      <w:bCs/>
      <w:sz w:val="20"/>
      <w:szCs w:val="20"/>
      <w:lang w:val="en-GB" w:eastAsia="en-GB" w:bidi="en-GB"/>
    </w:rPr>
  </w:style>
  <w:style w:type="paragraph" w:styleId="BalloonText">
    <w:name w:val="Balloon Text"/>
    <w:basedOn w:val="Normal"/>
    <w:next w:val="BalloonText"/>
    <w:qFormat/>
    <w:pPr/>
    <w:rPr>
      <w:rFonts w:ascii="Segoe UI" w:hAnsi="Segoe UI" w:eastAsia="Segoe UI" w:cs="Segoe UI"/>
      <w:sz w:val="18"/>
      <w:szCs w:val="18"/>
      <w:lang w:val="en-GB" w:eastAsia="en-GB" w:bidi="en-GB"/>
    </w:rPr>
  </w:style>
  <w:style w:type="character" w:styleId="Balloon Text Char" w:customStyle="1">
    <w:name w:val="Balloon Text Char"/>
    <w:qFormat/>
    <w:rPr>
      <w:rFonts w:ascii="Segoe UI" w:hAnsi="Segoe UI" w:eastAsia="Segoe UI" w:cs="Segoe UI"/>
      <w:sz w:val="18"/>
      <w:szCs w:val="18"/>
      <w:rtl w:val="off"/>
      <w:lang w:val="en-GB" w:eastAsia="en-GB" w:bidi="en-GB"/>
    </w:rPr>
  </w:style>
  <w:style w:type="character" w:styleId="Hyperlink">
    <w:name w:val="Hyperlink"/>
    <w:qFormat/>
    <w:rPr>
      <w:color w:val="0563C1"/>
      <w:u w:val="single"/>
      <w:rtl w:val="off"/>
    </w:rPr>
  </w:style>
  <w:style w:type="character" w:styleId="FollowedHyperlink">
    <w:name w:val="FollowedHyperlink"/>
    <w:qFormat/>
    <w:rPr>
      <w:color w:val="954F72"/>
      <w:u w:val="single"/>
      <w:rtl w:val="off"/>
    </w:rPr>
  </w:style>
  <w:style w:type="character" w:styleId="PlaceholderText">
    <w:name w:val="Placeholder Text"/>
    <w:qFormat/>
    <w:rPr>
      <w:color w:val="808080"/>
      <w:rtl w:val="off"/>
    </w:rPr>
  </w:style>
  <w:style w:type="character" w:styleId="Header Char" w:customStyle="1">
    <w:name w:val="Header Char"/>
    <w:qFormat/>
    <w:rPr>
      <w:rFonts w:ascii="Trebuchet MS" w:hAnsi="Trebuchet MS" w:eastAsia="Trebuchet MS" w:cs="Trebuchet MS"/>
      <w:sz w:val="20"/>
      <w:szCs w:val="20"/>
      <w:rtl w:val="off"/>
      <w:lang w:val="en-GB" w:eastAsia="en-GB" w:bidi="en-GB"/>
    </w:rPr>
  </w:style>
  <w:style w:type="character" w:styleId="Footer Char" w:customStyle="1">
    <w:name w:val="Footer Char"/>
    <w:qFormat/>
    <w:rPr>
      <w:rFonts w:ascii="Trebuchet MS" w:hAnsi="Trebuchet MS" w:eastAsia="Trebuchet MS" w:cs="Trebuchet MS"/>
      <w:sz w:val="20"/>
      <w:szCs w:val="20"/>
      <w:rtl w:val="off"/>
      <w:lang w:val="en-GB" w:eastAsia="en-GB" w:bidi="en-GB"/>
    </w:rPr>
  </w:style>
  <w:style w:type="character" w:styleId="Heading 1 Char" w:customStyle="1">
    <w:name w:val="Heading 1 Char"/>
    <w:qFormat/>
    <w:rPr>
      <w:rFonts w:ascii="Calibri Light" w:hAnsi="Calibri Light" w:eastAsia="Calibri Light" w:cs="Calibri Light"/>
      <w:color w:val="2E75B5"/>
      <w:sz w:val="32"/>
      <w:szCs w:val="32"/>
      <w:rtl w:val="off"/>
      <w:lang w:val="en-GB" w:eastAsia="en-GB" w:bidi="en-GB"/>
    </w:rPr>
  </w:style>
  <w:style w:type="character" w:styleId="UnresolvedMention">
    <w:name w:val="Unresolved Mention"/>
    <w:qFormat/>
    <w:rPr>
      <w:color w:val="605E5C"/>
      <w:shd w:val="clear" w:color="auto" w:fill="E1DFDD"/>
      <w:rtl w:val="off"/>
    </w:rPr>
  </w:style>
  <w:style w:type="paragraph" w:styleId="NoSpacing">
    <w:name w:val="No Spacing"/>
    <w:basedOn w:val="[Normal]"/>
    <w:next w:val="NoSpacing"/>
    <w:qFormat/>
    <w:pPr>
      <w:widowControl w:val="on"/>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Calibri" w:hAnsi="Calibri" w:eastAsia="Calibri" w:cs="Calibri"/>
      <w:sz w:val="22"/>
      <w:szCs w:val="22"/>
      <w:lang w:val="en-GB" w:eastAsia="en-GB" w:bidi="en-GB"/>
    </w:rPr>
  </w:style>
</w:styles>
</file>

<file path=word/_rels/document.xml.rels><?xml version="1.0" encoding="UTF-8" standalone="yes"?><Relationships xmlns="http://schemas.openxmlformats.org/package/2006/relationships">
	<Relationship Id="rId00005" Type="http://schemas.openxmlformats.org/officeDocument/2006/relationships/styles" Target="styles.xml"/>
	<Relationship Id="rId00013" Type="http://schemas.openxmlformats.org/officeDocument/2006/relationships/header" Target="header0001.xml"/>
	<Relationship Id="rId00014" Type="http://schemas.openxmlformats.org/officeDocument/2006/relationships/footer" Target="footer0001.xml"/>
	<Relationship Id="rId00006" Type="http://schemas.openxmlformats.org/officeDocument/2006/relationships/image" Target="media/image0001.jpg"/>
	<Relationship Id="rId00007" Type="http://schemas.openxmlformats.org/officeDocument/2006/relationships/image" Target="media/image0002.emf"/>
	<Relationship Id="rId00008" Type="http://schemas.openxmlformats.org/officeDocument/2006/relationships/image" Target="media/image0003.jpg"/>
	<Relationship Id="rId00009" Type="http://schemas.openxmlformats.org/officeDocument/2006/relationships/image" Target="media/image0004.jpg"/>
	<Relationship Id="rId00010" Type="http://schemas.openxmlformats.org/officeDocument/2006/relationships/image" Target="media/image0005.jpg"/>
	<Relationship Id="rId00011" Type="http://schemas.openxmlformats.org/officeDocument/2006/relationships/image" Target="media/image0006.emf"/>
	<Relationship Id="rId00012" Type="http://schemas.openxmlformats.org/officeDocument/2006/relationships/image" Target="media/image0007.png"/>
	<Relationship Id="rId00015" Type="http://schemas.openxmlformats.org/officeDocument/2006/relationships/numbering" Target="numbering.xml"/>
	<Relationship Id="rId00016" Type="http://schemas.openxmlformats.org/officeDocument/2006/relationships/fontTable" Target="fontTable.xml"/>
	<Relationship Id="rId0001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Application>Microsoft Office Word</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Applicant Pack</dc:title>
  <cp:keywords>Policy; HumanResources; HR</cp:keywords>
  <dc:creator>Claire Neary</dc:creator>
  <dcterms:created xsi:type="dcterms:W3CDTF">2026-08-17T12:38:00Z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45a5628-45e9-4ab3-9be1-66b8fee5ba00_ContentBits">
    <vt:lpwstr>3</vt:lpwstr>
  </property>
  <property fmtid="{D5CDD505-2E9C-101B-9397-08002B2CF9AE}" pid="3" name="MSIP_Label_345a5628-45e9-4ab3-9be1-66b8fee5ba00_SetDate">
    <vt:lpwstr>2022-11-23T16:53:43Z</vt:lpwstr>
  </property>
  <property fmtid="{D5CDD505-2E9C-101B-9397-08002B2CF9AE}" pid="4" name="Order">
    <vt:r8>1934700</vt:r8>
  </property>
  <property fmtid="{D5CDD505-2E9C-101B-9397-08002B2CF9AE}" pid="5" name="MSIP_Label_345a5628-45e9-4ab3-9be1-66b8fee5ba00_Name">
    <vt:lpwstr>Official</vt:lpwstr>
  </property>
  <property fmtid="{D5CDD505-2E9C-101B-9397-08002B2CF9AE}" pid="6" name="MSIP_Label_345a5628-45e9-4ab3-9be1-66b8fee5ba00_ActionId">
    <vt:lpwstr>27f627c1-1dd5-47ff-85f8-bc6c20266a7c</vt:lpwstr>
  </property>
  <property fmtid="{D5CDD505-2E9C-101B-9397-08002B2CF9AE}" pid="7" name="MSIP_Label_345a5628-45e9-4ab3-9be1-66b8fee5ba00_Enabled">
    <vt:lpwstr>true</vt:lpwstr>
  </property>
  <property fmtid="{D5CDD505-2E9C-101B-9397-08002B2CF9AE}" pid="8" name="TaxKeyword">
    <vt:lpwstr>16;#HumanResources|4d12bdfc-b4e0-423d-bf8a-57bd362b7aec;#15;#HR|aad7a0a4-3f3d-4995-b85d-7931e251579c;#14;#Policy|c03ed4bb-ad84-49a6-bfbe-1721d9a8c699</vt:lpwstr>
  </property>
  <property fmtid="{D5CDD505-2E9C-101B-9397-08002B2CF9AE}" pid="9" name="MSIP_Label_345a5628-45e9-4ab3-9be1-66b8fee5ba00_SiteId">
    <vt:lpwstr>72e022f2-1d7b-48a2-872d-a0ff35f57a8d</vt:lpwstr>
  </property>
  <property fmtid="{D5CDD505-2E9C-101B-9397-08002B2CF9AE}" pid="10" name="ContentTypeId">
    <vt:lpwstr>0x010100426B83354D7DA44F9939059CFA7B6F3D</vt:lpwstr>
  </property>
  <property fmtid="{D5CDD505-2E9C-101B-9397-08002B2CF9AE}" pid="11" name="MSIP_Label_345a5628-45e9-4ab3-9be1-66b8fee5ba00_Method">
    <vt:lpwstr>Standard</vt:lpwstr>
  </property>
</Properties>
</file>