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2335;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3359"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60287" behindDoc="0" locked="0" layoutInCell="1" hidden="0" allowOverlap="1">
                      <wp:simplePos x="0" y="0"/>
                      <wp:positionH relativeFrom="page">
                        <wp:posOffset>843280</wp:posOffset>
                      </wp:positionH>
                      <wp:positionV relativeFrom="page">
                        <wp:posOffset>-15875</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Resourcing Manager</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Senior Resourcing Manager</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Pr>
                    <w:rStyle w:val="Style1"/>
                    <w:lang w:val="en-GB" w:eastAsia="en-GB" w:bidi="en-GB"/>
                  </w:rPr>
                  <w:t xml:space="preserve">SPSC</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Digital Services" w:value="Digital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HR Directorate</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Normal Office Hours</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35</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None</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D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N/A</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3" w:line="216" w:lineRule="auto"/>
              <w:rPr>
                <w:rFonts w:ascii="Arial" w:hAnsi="Arial" w:eastAsia="Arial" w:cs="Arial"/>
                <w:lang w:val="en-GB" w:eastAsia="en-GB" w:bidi="en-GB"/>
              </w:rPr>
            </w:pPr>
            <w:r>
              <w:rPr>
                <w:rFonts w:ascii="Arial" w:hAnsi="Arial" w:eastAsia="Arial" w:cs="Arial"/>
                <w:lang w:val="en-GB" w:eastAsia="en-GB" w:bidi="en-GB"/>
              </w:rPr>
              <w:t xml:space="preserve">You will work as an integral part of  the Resourcing Team, based at the SPS College. As a Resourcing Manager you will work with the wider business to deliver and develop the Resourcing function as a credible, business-aligned and proactive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72" w:line="238" w:lineRule="auto"/>
              <w:rPr>
                <w:lang w:val="en-GB" w:eastAsia="en-GB" w:bidi="en-GB"/>
              </w:rPr>
            </w:pPr>
            <w:r>
              <w:rPr>
                <w:rFonts w:ascii="Arial" w:hAnsi="Arial" w:eastAsia="Arial" w:cs="Arial"/>
                <w:lang w:val="en-GB" w:eastAsia="en-GB" w:bidi="en-GB"/>
              </w:rPr>
              <w:t xml:space="preserve">You will drive improvements in recruitment practice through developing and implementing creative and innovative solutions to resourcing issues and through your contribution to the development of policy, systems and best practice in recruitment.  As part of the HR community, the Resourcing Team are on a digital transformation journey, so there may also be opportunities to contribute to digital improvements to support us to drive forward efficiencies to ensure the best experience for candidates.</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72" w:line="238" w:lineRule="auto"/>
              <w:rPr>
                <w:lang w:val="en-GB" w:eastAsia="en-GB" w:bidi="en-GB"/>
              </w:rPr>
            </w:pPr>
            <w:r>
              <w:rPr>
                <w:rFonts w:ascii="Arial" w:hAnsi="Arial" w:eastAsia="Arial" w:cs="Arial"/>
                <w:lang w:val="en-GB" w:eastAsia="en-GB" w:bidi="en-GB"/>
              </w:rPr>
              <w:t xml:space="preserve">This role is suitable for hybrid working, however there will be a requirement to attend regular face-to-face meetings with hiring managers and with your team across Headquarters and SPSC.</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72" w:line="238" w:lineRule="auto"/>
              <w:rPr>
                <w:lang w:val="en-GB" w:eastAsia="en-GB" w:bidi="en-GB"/>
              </w:rPr>
            </w:pPr>
            <w:r>
              <w:rPr>
                <w:rFonts w:ascii="Arial" w:hAnsi="Arial" w:eastAsia="Arial" w:cs="Arial"/>
                <w:lang w:val="en-GB" w:eastAsia="en-GB" w:bidi="en-GB"/>
              </w:rPr>
              <w:t xml:space="preserve">This is a temporary role for a period of 3-6 months, with the possibility of extension or permanency. </w:t>
            </w: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Ensure that all recruitment adheres to the Civil Service Commission's Recruitment Principles of open and fair competition, is delivered in line with SPS policies, and in an efficient and customer focused manner.  </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Provide leadership, line management and developmental support to Resourcing Co-Ordinators managing team workload and monitoring and supporting the progress of recruitment campaigns.   </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Provide advice and expertise on resourcing policy, processes and best practice to a variety of key business stakeholders.   </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Using the Applicant Tracking System and other digital tools to plan and manage recritment activity, extract information and provide analysis and reports on progress of recruitment campaigns. </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Drive improvements in recruitment practice through your involvement in a number of critical work areas (policy, systems, research, developing best practice).   </w:t>
            </w: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Develop specialist knowledge, through research and engagement with internal/external networks to develop and deliver innovative resourcing strategies and solutions to proactively address resourcing requirements across a wide range of roles.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29"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473" w:hRule="atLeast"/>
        </w:trPr>
        <w:tc>
          <w:tcPr>
            <w:tcW w:w="6658"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CIPD Level 3, or equivalent/above, or CIPD Foundation membership, or higher.</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top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 </w:t>
            </w:r>
          </w:p>
        </w:tc>
      </w:tr>
      <w:tr>
        <w:trPr>
          <w:trHeight w:val="472" w:hRule="atLeast"/>
        </w:trPr>
        <w:tc>
          <w:tcPr>
            <w:tcW w:w="6658" w:type="dxa"/>
            <w:tcBorders>
              <w:bottom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Have or willing to attain CIPD Level 5, or equivalent and CIPD Associate membership within an agreed period.</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Essential</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Recruitment Experience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planning and delivering recruitment campaigns, enabling positive candidate and hiring manager experiences, successful outcomes and compliant practices.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Advising &amp; Supporting</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support, advice and direction to others in relation to recruitment policy, processes and best practice.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Solutions Focussed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analysing business issues and providing practical and creative solutions which add value.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Digital Experience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r>
              <w:rPr>
                <w:rFonts w:ascii="Arial" w:hAnsi="Arial" w:eastAsia="Arial" w:cs="Arial"/>
                <w:lang w:val="en-GB" w:eastAsia="en-GB" w:bidi="en-GB"/>
              </w:rPr>
              <w:t xml:space="preserve">Knowledge and experience of utilising IT systems, such as Microsoft 365 and Applicant Tracking Systems to improve efficiencies, streamline processes and provide customer f</w:t>
            </w:r>
            <w:r>
              <w:drawing>
                <wp:anchor distT="0" distB="0" distL="114300" distR="114300" simplePos="0" relativeHeight="251664383" behindDoc="1" locked="0" layoutInCell="1" hidden="0" allowOverlap="1">
                  <wp:simplePos x="0" y="0"/>
                  <wp:positionH relativeFrom="page">
                    <wp:posOffset>1026795</wp:posOffset>
                  </wp:positionH>
                  <wp:positionV relativeFrom="page">
                    <wp:posOffset>248285</wp:posOffset>
                  </wp:positionV>
                  <wp:extent cx="762000" cy="552450"/>
                  <wp:wrapNone/>
                  <wp:docPr id="6" name="Picture 8"/>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8"/>
                          <a:stretch>
                            <a:fillRect/>
                          </a:stretch>
                        </pic:blipFill>
                        <pic:spPr>
                          <a:xfrm>
                            <a:off x="0" y="0"/>
                            <a:ext cx="762000" cy="55245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page">
                    <wp:posOffset>955040</wp:posOffset>
                  </wp:positionH>
                  <wp:positionV relativeFrom="page">
                    <wp:posOffset>267335</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page">
                    <wp:posOffset>1061085</wp:posOffset>
                  </wp:positionH>
                  <wp:positionV relativeFrom="page">
                    <wp:posOffset>267335</wp:posOffset>
                  </wp:positionV>
                  <wp:extent cx="666750" cy="534670"/>
                  <wp:wrapSquare wrapText="bothSides"/>
                  <wp:docPr id="8" name="Picture 6"/>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666750" cy="534670"/>
                          </a:xfrm>
                          <a:prstGeom prst="rect">
                            <a:avLst/>
                          </a:prstGeom>
                        </pic:spPr>
                      </pic:pic>
                    </a:graphicData>
                  </a:graphic>
                </wp:anchor>
              </w:drawing>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273685</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857250" cy="523875"/>
                          </a:xfrm>
                          <a:prstGeom prst="rect">
                            <a:avLst/>
                          </a:prstGeom>
                        </pic:spPr>
                      </pic:pic>
                    </a:graphicData>
                  </a:graphic>
                </wp:anchor>
              </w:drawing>
            </w:r>
            <w:r>
              <w:drawing>
                <wp:anchor distT="0" distB="0" distL="114300" distR="114300" simplePos="0" relativeHeight="251666431" behindDoc="1" locked="0" layoutInCell="1" hidden="0" allowOverlap="1">
                  <wp:simplePos x="0" y="0"/>
                  <wp:positionH relativeFrom="page">
                    <wp:posOffset>968375</wp:posOffset>
                  </wp:positionH>
                  <wp:positionV relativeFrom="page">
                    <wp:posOffset>172085</wp:posOffset>
                  </wp:positionV>
                  <wp:extent cx="812800" cy="629920"/>
                  <wp:wrapNone/>
                  <wp:docPr id="10" name="Picture 4"/>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812800" cy="629920"/>
                          </a:xfrm>
                          <a:prstGeom prst="rect">
                            <a:avLst/>
                          </a:prstGeom>
                        </pic:spPr>
                      </pic:pic>
                    </a:graphicData>
                  </a:graphic>
                </wp:anchor>
              </w:drawing>
            </w:r>
            <w:r>
              <w:rPr>
                <w:rFonts w:ascii="Arial" w:hAnsi="Arial" w:eastAsia="Arial" w:cs="Arial"/>
                <w:lang w:val="en-GB" w:eastAsia="en-GB" w:bidi="en-GB"/>
              </w:rPr>
              <w:t xml:space="preserve">ocussed business solutions. </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1"/>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2"/>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1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Plan &amp; Organise</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4"/>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Change &amp; Improve</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6"/>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8"/>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Methods</w:t>
      </w:r>
    </w:p>
    <w:tbl>
      <w:tblPr>
        <w:tblW w:w="0" w:type="auto"/>
        <w:jc w:val="left"/>
        <w:tblInd w:w="0" w:type="dxa"/>
        <w:tblBorders>
          <w:top w:val="single" w:sz="8" w:space="0" w:color="auto"/>
          <w:left w:val="single" w:sz="8" w:space="0" w:color="auto"/>
          <w:bottom w:val="single" w:sz="8" w:space="0" w:color="auto"/>
          <w:right w:val="single" w:sz="8" w:space="0" w:color="auto"/>
          <w:insideH w:val="none"/>
          <w:insideV w:val="none"/>
        </w:tblBorders>
        <w:tblLayout w:type="fixed"/>
        <w:tblCellMar>
          <w:top w:w="0" w:type="dxa"/>
          <w:left w:w="108" w:type="dxa"/>
          <w:bottom w:w="0" w:type="dxa"/>
          <w:right w:w="108" w:type="dxa"/>
        </w:tblCellMar>
      </w:tblPr>
      <w:tblGrid>
        <w:gridCol w:w="9015"/>
      </w:tblGrid>
      <w:tr>
        <w:trPr>
          <w:trHeight w:val="300" w:hRule="atLeast"/>
        </w:trPr>
        <w:tc>
          <w:tcPr>
            <w:tcW w:w="9015" w:type="dxa"/>
            <w:tcBorders>
              <w:bottom w:val="single" w:sz="8"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b/>
                <w:bCs/>
                <w:lang w:val="en-GB" w:eastAsia="en-GB" w:bidi="en-GB"/>
              </w:rPr>
              <w:t xml:space="preserve">Selection Methods</w:t>
            </w:r>
          </w:p>
        </w:tc>
      </w:tr>
    </w:tbl>
    <w:tbl>
      <w:tblPr>
        <w:tblW w:w="0" w:type="auto"/>
        <w:jc w:val="lef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526"/>
        <w:gridCol w:w="8489"/>
      </w:tblGrid>
      <w:tr>
        <w:trPr>
          <w:trHeight w:val="300" w:hRule="atLeast"/>
        </w:trPr>
        <w:tc>
          <w:tcPr>
            <w:tcW w:w="526" w:type="dxa"/>
            <w:tcBorders>
              <w:top w:val="single" w:sz="8"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1</w:t>
            </w:r>
          </w:p>
        </w:tc>
        <w:tc>
          <w:tcPr>
            <w:tcW w:w="8489" w:type="dxa"/>
            <w:tcBorders>
              <w:top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Competency Sift </w:t>
            </w:r>
          </w:p>
        </w:tc>
      </w:tr>
      <w:tr>
        <w:trPr>
          <w:trHeight w:val="300" w:hRule="atLeast"/>
        </w:trPr>
        <w:tc>
          <w:tcPr>
            <w:tcW w:w="52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2</w:t>
            </w:r>
          </w:p>
        </w:tc>
        <w:tc>
          <w:tcPr>
            <w:tcW w:w="84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1803"/>
        <w:gridCol w:w="1803"/>
        <w:gridCol w:w="1803"/>
        <w:gridCol w:w="1803"/>
        <w:gridCol w:w="1804"/>
      </w:tblGrid>
      <w:tr>
        <w:trPr>
          <w:trHeight w:val="1537" w:hRule="atLeast"/>
        </w:trPr>
        <w:tc>
          <w:tcPr>
            <w:tcW w:w="180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Calibri Light">
    <w:panose1 w:val="020F0302020204030204"/>
    <w:charset w:val="00"/>
    <w:family w:val="swiss"/>
    <w:pitch w:val="variable"/>
    <w:sig w:usb0="E0002A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character" w:styleId="Header Char" w:customStyle="1">
    <w:name w:val="Header Char"/>
    <w:qFormat/>
    <w:rPr>
      <w:rtl w:val="off"/>
    </w:rPr>
  </w:style>
  <w:style w:type="character" w:styleId="Footer Char" w:customStyle="1">
    <w:name w:val="Footer Char"/>
    <w:qFormat/>
    <w:rPr>
      <w:rtl w:val="off"/>
    </w:rPr>
  </w:style>
  <w:style w:type="character" w:styleId="CommentReference">
    <w:name w:val="annotation reference"/>
    <w:qFormat/>
    <w:rPr>
      <w:sz w:val="16"/>
      <w:szCs w:val="16"/>
      <w:rtl w:val="off"/>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png"/>
	<Relationship Id="rId00012" Type="http://schemas.openxmlformats.org/officeDocument/2006/relationships/image" Target="media/image0007.emf"/>
	<Relationship Id="rId00015" Type="http://schemas.openxmlformats.org/officeDocument/2006/relationships/fontTable" Target="fontTable.xml"/>
	<Relationship Id="rId000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Policy; HumanResources; HR</cp:keywords>
  <dc:creator>Hayley Evans</dc:creator>
  <dcterms:created xsi:type="dcterms:W3CDTF">2026-10-05T09:32:00Z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TaxKeyword">
    <vt:lpwstr>16;#HumanResources|4d12bdfc-b4e0-423d-bf8a-57bd362b7aec;#15;#HR|aad7a0a4-3f3d-4995-b85d-7931e251579c;#14;#Policy|c03ed4bb-ad84-49a6-bfbe-1721d9a8c699</vt:lpwstr>
  </property>
  <property fmtid="{D5CDD505-2E9C-101B-9397-08002B2CF9AE}" pid="4" name="MSIP_Label_345a5628-45e9-4ab3-9be1-66b8fee5ba00_ContentBits">
    <vt:lpwstr>3</vt:lpwstr>
  </property>
  <property fmtid="{D5CDD505-2E9C-101B-9397-08002B2CF9AE}" pid="5" name="Priority">
    <vt:lpwstr>Short (0-6 mths)</vt:lpwstr>
  </property>
  <property fmtid="{D5CDD505-2E9C-101B-9397-08002B2CF9AE}" pid="6" name="ClassificationContentMarkingHeaderText">
    <vt:lpwstr>OFFICIAL</vt:lpwstr>
  </property>
  <property fmtid="{D5CDD505-2E9C-101B-9397-08002B2CF9AE}" pid="7" name="MSIP_Label_345a5628-45e9-4ab3-9be1-66b8fee5ba00_SiteId">
    <vt:lpwstr>72e022f2-1d7b-48a2-872d-a0ff35f57a8d</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SetDate">
    <vt:lpwstr>2023-04-25T14:49:22Z</vt:lpwstr>
  </property>
  <property fmtid="{D5CDD505-2E9C-101B-9397-08002B2CF9AE}" pid="11" name="MSIP_Label_345a5628-45e9-4ab3-9be1-66b8fee5ba00_Enabled">
    <vt:lpwstr>true</vt:lpwstr>
  </property>
  <property fmtid="{D5CDD505-2E9C-101B-9397-08002B2CF9AE}" pid="12" name="MSIP_Label_345a5628-45e9-4ab3-9be1-66b8fee5ba00_ActionId">
    <vt:lpwstr>d33e251a-6e54-4211-91b8-332b3e72b0e2</vt:lpwstr>
  </property>
  <property fmtid="{D5CDD505-2E9C-101B-9397-08002B2CF9AE}" pid="13" name="ClassificationContentMarkingHeaderShapeIds">
    <vt:lpwstr>9,a,b</vt:lpwstr>
  </property>
  <property fmtid="{D5CDD505-2E9C-101B-9397-08002B2CF9AE}" pid="14" name="ClassificationContentMarkingFooterFontProps">
    <vt:lpwstr>#000000,12,Calibri</vt:lpwstr>
  </property>
  <property fmtid="{D5CDD505-2E9C-101B-9397-08002B2CF9AE}" pid="15" name="Order">
    <vt:r8>12700</vt:r8>
  </property>
  <property fmtid="{D5CDD505-2E9C-101B-9397-08002B2CF9AE}" pid="16" name="MSIP_Label_345a5628-45e9-4ab3-9be1-66b8fee5ba00_Name">
    <vt:lpwstr>Official</vt:lpwstr>
  </property>
  <property fmtid="{D5CDD505-2E9C-101B-9397-08002B2CF9AE}" pid="17" name="xd_Signature">
    <vt:bool>false</vt:bool>
  </property>
  <property fmtid="{D5CDD505-2E9C-101B-9397-08002B2CF9AE}" pid="18" name="ContentTypeId">
    <vt:lpwstr>0x010100EDE3D0010653EB42B817C4224FB8382A</vt:lpwstr>
  </property>
  <property fmtid="{D5CDD505-2E9C-101B-9397-08002B2CF9AE}" pid="19" name="MSIP_Label_345a5628-45e9-4ab3-9be1-66b8fee5ba00_Method">
    <vt:lpwstr>Standard</vt:lpwstr>
  </property>
</Properties>
</file>