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pict>
          <v:shape id="Text Box 3" coordsize="21600,21600" o:spt="202" path="m,l,21600r21600,l21600,xe" fillcolor="#FFFFFF" stroked="f" strokeweight="0" style="width:277.5pt;height:63.75pt;position:absolute;margin-left:0.3pt;margin-top:9.55pt;z-index:251660287;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TRANSFORMING LIVES</w:t>
                  </w:r>
                </w:p>
              </w:txbxContent>
            </v:textbox>
            <w10:wrap type="square"/>
          </v:shape>
        </w:pic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lang w:val="en-GB" w:eastAsia="en-GB" w:bidi="en-GB"/>
        </w:rPr>
      </w:pPr>
      <w:r>
        <w:rPr>
          <w:lang w:val="en-GB" w:eastAsia="en-GB" w:bidi="en-GB"/>
        </w:rPr>
        <w:drawing>
          <wp:inline distT="0" distB="0" distL="0" distR="0">
            <wp:extent cx="1409700" cy="1222375"/>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1409700" cy="1222375"/>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color w:val="333399"/>
          <w:sz w:val="32"/>
          <w:szCs w:val="32"/>
          <w:lang w:val="en-GB" w:eastAsia="en-GB" w:bidi="en-GB"/>
        </w:rPr>
      </w:pPr>
      <w:r>
        <mc:AlternateContent>
          <mc:Choice Requires="wps">
            <w:drawing>
              <wp:anchor distT="0" distB="0" distL="114300" distR="114300" simplePos="0" relativeHeight="251661311" behindDoc="0" locked="0" layoutInCell="1" hidden="0" allowOverlap="1">
                <wp:simplePos x="0" y="0"/>
                <wp:positionH relativeFrom="column">
                  <wp:posOffset>-7064</wp:posOffset>
                </wp:positionH>
                <wp:positionV relativeFrom="paragraph">
                  <wp:posOffset>189177</wp:posOffset>
                </wp:positionV>
                <wp:extent cx="4305043" cy="85210"/>
                <wp:wrapNone/>
                <wp:docPr id="4" name="Rectangle 2"/>
                <a:graphic xmlns:a="http://schemas.openxmlformats.org/drawingml/2006/main">
                  <a:graphicData uri="http://schemas.microsoft.com/office/word/2010/wordprocessingShape">
                    <wps:wsp>
                      <wps:cNvSpPr/>
                      <wps:spPr>
                        <a:xfrm>
                          <a:off x="0" y="0"/>
                          <a:ext cx="4305043" cy="85210"/>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rPr>
          <w:rFonts w:ascii="Arial" w:hAnsi="Arial" w:eastAsia="Arial" w:cs="Arial"/>
          <w:b/>
          <w:bCs/>
          <w:color w:val="004295"/>
          <w:sz w:val="36"/>
          <w:szCs w:val="36"/>
          <w:lang w:val="en-GB" w:eastAsia="en-GB" w:bidi="en-GB"/>
        </w:rPr>
        <w:t xml:space="preserve">SELECTION INFORMATION &amp; CAMPAIGN TIMELINE</w:t>
      </w: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THEME LEAD (VOCATIONAL)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want to ensure you have access to all the information you need to feel prepared, confident and able to show us your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lang w:val="en-GB" w:eastAsia="en-GB" w:bidi="en-GB"/>
        </w:rPr>
        <w:br w:type="textWrapping"/>
      </w:r>
      <w:r>
        <w:rPr>
          <w:rFonts w:ascii="Arial" w:hAnsi="Arial" w:eastAsia="Arial" w:cs="Arial"/>
          <w:sz w:val="22"/>
          <w:szCs w:val="22"/>
          <w:lang w:val="en-GB" w:eastAsia="en-GB" w:bidi="en-GB"/>
        </w:rPr>
        <w:t xml:space="preserve">We’ve included details of the selection process, and at which stage each criteria from the Person Specification will be assessed. We’ve also included key dates you’ll want to keep in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Our selection approach is based upon the principle of merit which means that we’ll look to appointment the person who best meets the requirements of the role as outlined in the 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selection process for this role will consist of the following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6"/>
      </w:tblGrid>
      <w:tr>
        <w:tc>
          <w:tcPr>
            <w:tcW w:w="9016" w:type="dxa"/>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Stage 1 – Competency Sift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Stage 2 – Presentation and 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Competencies for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Please view our </w:t>
      </w:r>
      <w:r>
        <w:rPr>
          <w:rStyle w:val="Hyperlink"/>
          <w:rFonts w:ascii="Arial" w:hAnsi="Arial" w:eastAsia="Arial" w:cs="Arial"/>
          <w:b/>
          <w:bCs/>
          <w:sz w:val="22"/>
          <w:szCs w:val="22"/>
          <w:lang w:val="en-GB" w:eastAsia="en-GB" w:bidi="en-GB"/>
        </w:rPr>
        <w:fldChar w:fldCharType="begin"/>
      </w:r>
      <w:r>
        <w:rPr>
          <w:rStyle w:val="Hyperlink"/>
          <w:rFonts w:ascii="Arial" w:hAnsi="Arial" w:eastAsia="Arial" w:cs="Arial"/>
          <w:b/>
          <w:bCs/>
          <w:sz w:val="22"/>
          <w:szCs w:val="22"/>
          <w:lang w:val="en-GB" w:eastAsia="en-GB" w:bidi="en-GB"/>
        </w:rPr>
        <w:instrText xml:space="preserve"> HYPERLINK "https://www.sps.gov.uk/careers/working-sps/career-and-development" </w:instrText>
      </w:r>
      <w:r>
        <w:rPr>
          <w:rStyle w:val="Hyperlink"/>
          <w:rFonts w:ascii="Arial" w:hAnsi="Arial" w:eastAsia="Arial" w:cs="Arial"/>
          <w:b/>
          <w:bCs/>
          <w:sz w:val="22"/>
          <w:szCs w:val="22"/>
          <w:lang w:val="en-GB" w:eastAsia="en-GB" w:bidi="en-GB"/>
        </w:rPr>
        <w:fldChar w:fldCharType="separate"/>
      </w:r>
      <w:r>
        <w:rPr>
          <w:rStyle w:val="Hyperlink"/>
          <w:rFonts w:ascii="Arial" w:hAnsi="Arial" w:eastAsia="Arial" w:cs="Arial"/>
          <w:b/>
          <w:bCs/>
          <w:sz w:val="22"/>
          <w:szCs w:val="22"/>
          <w:lang w:val="en-GB" w:eastAsia="en-GB" w:bidi="en-GB"/>
        </w:rPr>
        <w:t xml:space="preserve">Competencies for Success Framework</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for information on the core behavioural competencies which apply to all our roles. During recruitment, you’ll be assessed on up to four Competencies for Success, as outlined in the below Selection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6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Criteria</w:t>
            </w:r>
          </w:p>
        </w:tc>
        <w:tc>
          <w:tcPr>
            <w:tcW w:w="241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Essential or 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Hold a minimum of an Undergraduate Degree or equivalent/higher qualification (360 credits, of which 60 credits must be at SCQF Level 9) relevant to the role or be working towards this level of qualification.</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PlaceholderText"/>
                <w:rFonts w:ascii="Arial" w:hAnsi="Arial" w:eastAsia="Arial" w:cs="Arial"/>
                <w:sz w:val="22"/>
                <w:szCs w:val="22"/>
                <w:lang w:val="en-GB" w:eastAsia="en-GB" w:bidi="en-GB"/>
              </w:rPr>
            </w:pPr>
            <w:sdt>
              <w:sdtPr>
                <w:id w:val="1"/>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tc>
      </w:tr>
      <w:tr>
        <w:trPr>
          <w:trHeight w:val="836"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Hold a L&amp;D9DI and L&amp;D11, or a combination of qualifications and relevant experience.</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Desirable</w:t>
            </w:r>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Vocational Training Design &amp; Management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z w:val="22"/>
                <w:szCs w:val="22"/>
                <w:lang w:val="en-GB" w:eastAsia="en-GB" w:bidi="en-GB"/>
              </w:rPr>
            </w:pPr>
            <w:r>
              <w:rPr>
                <w:rFonts w:ascii="Arial" w:hAnsi="Arial" w:eastAsia="Arial" w:cs="Arial"/>
                <w:sz w:val="22"/>
                <w:szCs w:val="22"/>
                <w:lang w:val="en-GB" w:eastAsia="en-GB" w:bidi="en-GB"/>
              </w:rPr>
              <w:t xml:space="preserve">Experience in the development and management of vocational training, including qualification design and working with awarding bodies/external regulators.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2"/>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b/>
                <w:bCs/>
                <w:sz w:val="22"/>
                <w:szCs w:val="22"/>
                <w:lang w:val="en-GB" w:eastAsia="en-GB" w:bidi="en-GB"/>
              </w:rPr>
              <w:t xml:space="preserve">Assurance of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z w:val="22"/>
                <w:szCs w:val="22"/>
                <w:lang w:val="en-GB" w:eastAsia="en-GB" w:bidi="en-GB"/>
              </w:rPr>
            </w:pPr>
            <w:r>
              <w:rPr>
                <w:rFonts w:ascii="Arial" w:hAnsi="Arial" w:eastAsia="Arial" w:cs="Arial"/>
                <w:sz w:val="22"/>
                <w:szCs w:val="22"/>
                <w:lang w:val="en-GB" w:eastAsia="en-GB" w:bidi="en-GB"/>
              </w:rPr>
              <w:t xml:space="preserve">Knowledge and experience of maintaining educational standards to ensure and validate training integrity, including the principles and requirements of credit rating and the wider Scottish Credit and Qualifications Framework.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3"/>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32" w:hRule="atLeast"/>
        </w:trPr>
        <w:tc>
          <w:tcPr>
            <w:tcW w:w="4361" w:type="dxa"/>
            <w:tcBorders>
              <w:bottom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7"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Analysing Complex Information </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7" w:lineRule="auto"/>
              <w:jc w:val="both"/>
              <w:rPr>
                <w:rFonts w:ascii="Arial" w:hAnsi="Arial" w:eastAsia="Arial" w:cs="Arial"/>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7" w:lineRule="auto"/>
              <w:jc w:val="both"/>
              <w:rPr>
                <w:rFonts w:ascii="Arial" w:hAnsi="Arial" w:eastAsia="Arial" w:cs="Arial"/>
                <w:lang w:val="en-GB" w:eastAsia="en-GB" w:bidi="en-GB"/>
              </w:rPr>
            </w:pPr>
            <w:r>
              <w:rPr>
                <w:rFonts w:ascii="Arial" w:hAnsi="Arial" w:eastAsia="Arial" w:cs="Arial"/>
                <w:lang w:val="en-GB" w:eastAsia="en-GB" w:bidi="en-GB"/>
              </w:rPr>
              <w:t xml:space="preserve">Experience of undertaking research and analysing complex information drawn from a number of sources, identifying, implementing, evaluating solutions and making recommendations for improvements aligned to organisational needs.</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4"/>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lang w:val="en-GB" w:eastAsia="en-GB" w:bidi="en-GB"/>
              </w:rPr>
            </w:pPr>
            <w:r>
              <w:rPr>
                <w:rFonts w:ascii="Arial" w:hAnsi="Arial" w:eastAsia="Arial" w:cs="Arial"/>
                <w:b/>
                <w:bCs/>
                <w:lang w:val="en-GB" w:eastAsia="en-GB" w:bidi="en-GB"/>
              </w:rPr>
              <w:t xml:space="preserve">Competencies for Success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sdt>
              <w:sdtPr>
                <w:id w:val="5"/>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Listen &amp; Communicate</w:t>
                </w:r>
              </w:sdtContent>
            </w:sdt>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6"/>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3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7"/>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Relationships &amp; Collaboration</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8"/>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6"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9"/>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lang w:val="en-GB" w:eastAsia="en-GB" w:bidi="en-GB"/>
                  </w:rPr>
                  <w:t xml:space="preserve">Plan &amp; Organise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10"/>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1"/>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lang w:val="en-GB" w:eastAsia="en-GB" w:bidi="en-GB"/>
                  </w:rPr>
                  <w:t xml:space="preserve">Solve Problems &amp; Make Decisions</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12"/>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jc w:val="center"/>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 Key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2315"/>
        <w:gridCol w:w="2315"/>
        <w:gridCol w:w="2316"/>
      </w:tblGrid>
      <w:tr>
        <w:trPr>
          <w:trHeight w:val="580" w:hRule="atLeast"/>
        </w:trPr>
        <w:tc>
          <w:tcPr>
            <w:tcW w:w="2093"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Date Vacancy Closes for Applications</w:t>
            </w:r>
          </w:p>
        </w:tc>
        <w:tc>
          <w:tcPr>
            <w:tcW w:w="2315"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3"/>
                <w:date w:fullDate="2026-08-17T00:00:00Z">
                  <w:dateFormat w:val="dd/MM/yyyy"/>
                </w:date>
              </w:sdtPr>
              <w:sdtContent>
                <w:r>
                  <w:rPr>
                    <w:rFonts w:ascii="Arial" w:hAnsi="Arial" w:eastAsia="Arial" w:cs="Arial"/>
                    <w:sz w:val="22"/>
                    <w:szCs w:val="22"/>
                    <w:lang w:val="en-GB" w:eastAsia="en-GB" w:bidi="en-GB"/>
                  </w:rPr>
                  <w:t xml:space="preserve">17/08/2026</w:t>
                </w:r>
              </w:sdtContent>
            </w:sdt>
          </w:p>
        </w:tc>
        <w:tc>
          <w:tcPr>
            <w:tcW w:w="2315"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Time Vacancy Closes for Applications</w:t>
            </w:r>
          </w:p>
        </w:tc>
        <w:tc>
          <w:tcPr>
            <w:tcW w:w="2316"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23:59 </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6946"/>
      </w:tblGrid>
      <w:tr>
        <w:trPr>
          <w:trHeight w:val="688" w:hRule="atLeast"/>
        </w:trPr>
        <w:tc>
          <w:tcPr>
            <w:tcW w:w="2093"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Interview Date*</w:t>
            </w:r>
          </w:p>
        </w:tc>
        <w:tc>
          <w:tcPr>
            <w:tcW w:w="6946"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4"/>
                <w:date w:fullDate="2026-09-01T00:00:00Z">
                  <w:dateFormat w:val="dd MMMM yyyy"/>
                </w:date>
              </w:sdtPr>
              <w:sdtContent>
                <w:r>
                  <w:rPr>
                    <w:rFonts w:ascii="Arial" w:hAnsi="Arial" w:eastAsia="Arial" w:cs="Arial"/>
                    <w:sz w:val="22"/>
                    <w:szCs w:val="22"/>
                    <w:lang w:val="en-GB" w:eastAsia="en-GB" w:bidi="en-GB"/>
                  </w:rPr>
                  <w:t xml:space="preserve">01 September 2026</w:t>
                </w:r>
              </w:sdtContent>
            </w:sdt>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*please note interview dates are subject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color w:val="004295"/>
          <w:sz w:val="24"/>
          <w:szCs w:val="24"/>
          <w:lang w:val="en-US" w:eastAsia="en-US" w:bidi="en-US"/>
        </w:rPr>
        <w:t xml:space="preserve">Reasonable Adjustments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recognise that people may have access needs or require adjustments to help them perform at their best. We refer to these as reasonable adjustments.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have a disability, whether visible or non‑visible, or any access needs that would support your full participation in the selection process, please contact Shona Peacock at </w:t>
      </w:r>
      <w:r>
        <w:rPr>
          <w:rStyle w:val="Hyperlink"/>
          <w:rFonts w:ascii="Arial" w:hAnsi="Arial" w:eastAsia="Arial" w:cs="Arial"/>
          <w:sz w:val="22"/>
          <w:szCs w:val="22"/>
          <w:lang w:val="en-GB" w:eastAsia="en-GB" w:bidi="en-GB"/>
        </w:rPr>
        <w:fldChar w:fldCharType="begin"/>
      </w:r>
      <w:r>
        <w:rPr>
          <w:rStyle w:val="Hyperlink"/>
          <w:rFonts w:ascii="Arial" w:hAnsi="Arial" w:eastAsia="Arial" w:cs="Arial"/>
          <w:sz w:val="22"/>
          <w:szCs w:val="22"/>
          <w:lang w:val="en-GB" w:eastAsia="en-GB" w:bidi="en-GB"/>
        </w:rPr>
        <w:instrText xml:space="preserve"> HYPERLINK "mailto:Shona.Peacock@prisons.gov.scot" </w:instrText>
      </w:r>
      <w:r>
        <w:rPr>
          <w:rStyle w:val="Hyperlink"/>
          <w:rFonts w:ascii="Arial" w:hAnsi="Arial" w:eastAsia="Arial" w:cs="Arial"/>
          <w:sz w:val="22"/>
          <w:szCs w:val="22"/>
          <w:lang w:val="en-GB" w:eastAsia="en-GB" w:bidi="en-GB"/>
        </w:rPr>
        <w:fldChar w:fldCharType="separate"/>
      </w:r>
      <w:r>
        <w:rPr>
          <w:rStyle w:val="Hyperlink"/>
          <w:rFonts w:ascii="Arial" w:hAnsi="Arial" w:eastAsia="Arial" w:cs="Arial"/>
          <w:sz w:val="22"/>
          <w:szCs w:val="22"/>
          <w:lang w:val="en-GB" w:eastAsia="en-GB" w:bidi="en-GB"/>
        </w:rPr>
        <w:t xml:space="preserve">Shona.Peacock@prisons.gov.scot</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to discuss how we can best support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Examples of reasonable adjustments we have provided in the past include: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Offering additional time during interviews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Adjusting how interview questions are asked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Scheduling interviews at a time that works best for you</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Breaking multi‑stage questions into smaller steps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Providing written materials in alternative formats (e.g., different font, colour, or text size)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Sharing extra information about what to expect during the selection process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Printing resources on paper in a preferred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sz w:val="22"/>
          <w:szCs w:val="22"/>
          <w:lang w:val="en-US" w:eastAsia="en-US" w:bidi="en-US"/>
        </w:rPr>
      </w:pPr>
      <w:r>
        <w:drawing>
          <wp:anchor distT="0" distB="0" distL="114300" distR="114300" simplePos="0" relativeHeight="251663359" behindDoc="0" locked="0" layoutInCell="1" hidden="0" allowOverlap="1">
            <wp:simplePos x="0" y="0"/>
            <wp:positionH relativeFrom="column">
              <wp:posOffset>2286000</wp:posOffset>
            </wp:positionH>
            <wp:positionV relativeFrom="paragraph">
              <wp:posOffset>52070</wp:posOffset>
            </wp:positionV>
            <wp:extent cx="680085" cy="564515"/>
            <wp:wrapSquare wrapText="bothSides"/>
            <wp:docPr id="5" name="_tx_id_1_Picture 1"/>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8"/>
                    <a:stretch>
                      <a:fillRect/>
                    </a:stretch>
                  </pic:blipFill>
                  <pic:spPr>
                    <a:xfrm>
                      <a:off x="0" y="0"/>
                      <a:ext cx="680085" cy="564515"/>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column">
              <wp:posOffset>1000125</wp:posOffset>
            </wp:positionH>
            <wp:positionV relativeFrom="paragraph">
              <wp:posOffset>95250</wp:posOffset>
            </wp:positionV>
            <wp:extent cx="930275" cy="488950"/>
            <wp:wrapNone/>
            <wp:docPr id="6" name="Picture 5"/>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9"/>
                    <a:stretch>
                      <a:fillRect/>
                    </a:stretch>
                  </pic:blipFill>
                  <pic:spPr>
                    <a:xfrm>
                      <a:off x="0" y="0"/>
                      <a:ext cx="930275" cy="488950"/>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column">
              <wp:posOffset>0</wp:posOffset>
            </wp:positionH>
            <wp:positionV relativeFrom="paragraph">
              <wp:posOffset>81915</wp:posOffset>
            </wp:positionV>
            <wp:extent cx="762000" cy="552450"/>
            <wp:wrapSquare wrapText="bothSides"/>
            <wp:docPr id="7" name="Picture 8"/>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0"/>
                    <a:stretch>
                      <a:fillRect/>
                    </a:stretch>
                  </pic:blipFill>
                  <pic:spPr>
                    <a:xfrm>
                      <a:off x="0" y="0"/>
                      <a:ext cx="762000" cy="552450"/>
                    </a:xfrm>
                    <a:prstGeom prst="rect">
                      <a:avLst/>
                    </a:prstGeom>
                  </pic:spPr>
                </pic:pic>
              </a:graphicData>
            </a:graphic>
          </wp:anchor>
        </w:drawing>
      </w:r>
      <w:r>
        <w:drawing>
          <wp:anchor distT="0" distB="0" distL="114300" distR="114300" simplePos="0" relativeHeight="251664383" behindDoc="1" locked="0" layoutInCell="1" hidden="0" allowOverlap="1">
            <wp:simplePos x="0" y="0"/>
            <wp:positionH relativeFrom="column">
              <wp:posOffset>4645660</wp:posOffset>
            </wp:positionH>
            <wp:positionV relativeFrom="paragraph">
              <wp:posOffset>83820</wp:posOffset>
            </wp:positionV>
            <wp:extent cx="812800" cy="629920"/>
            <wp:wrapNone/>
            <wp:docPr id="8" name="Picture 9"/>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1"/>
                    <a:stretch>
                      <a:fillRect/>
                    </a:stretch>
                  </pic:blipFill>
                  <pic:spPr>
                    <a:xfrm>
                      <a:off x="0" y="0"/>
                      <a:ext cx="812800" cy="629920"/>
                    </a:xfrm>
                    <a:prstGeom prst="rect">
                      <a:avLst/>
                    </a:prstGeom>
                  </pic:spPr>
                </pic:pic>
              </a:graphicData>
            </a:graphic>
          </wp:anchor>
        </w:drawing>
      </w:r>
      <w:r>
        <w:drawing>
          <wp:anchor distT="0" distB="0" distL="114300" distR="114300" simplePos="0" relativeHeight="251662335" behindDoc="0" locked="0" layoutInCell="1" hidden="0" allowOverlap="1">
            <wp:simplePos x="0" y="0"/>
            <wp:positionH relativeFrom="column">
              <wp:posOffset>3359150</wp:posOffset>
            </wp:positionH>
            <wp:positionV relativeFrom="paragraph">
              <wp:posOffset>80010</wp:posOffset>
            </wp:positionV>
            <wp:extent cx="857250" cy="527050"/>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2"/>
                    <a:stretch>
                      <a:fillRect/>
                    </a:stretch>
                  </pic:blipFill>
                  <pic:spPr>
                    <a:xfrm>
                      <a:off x="0" y="0"/>
                      <a:ext cx="857250" cy="527050"/>
                    </a:xfrm>
                    <a:prstGeom prst="rect">
                      <a:avLst/>
                    </a:prstGeom>
                  </pic:spPr>
                </pic:pic>
              </a:graphicData>
            </a:graphic>
          </wp:anchor>
        </w:drawing>
      </w:r>
    </w:p>
    <w:sectPr>
      <w:headerReference w:type="default" r:id="rId00013"/>
      <w:footerReference w:type="default" r:id="rId00014"/>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Calibri Light">
    <w:panose1 w:val="020F0302020204030204"/>
    <w:charset w:val="00"/>
    <w:family w:val="swiss"/>
    <w:pitch w:val="variable"/>
    <w:sig w:usb0="E0002A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rPr>
        <w:lang w:val="en-GB" w:eastAsia="en-GB" w:bidi="en-GB"/>
      </w:rPr>
      <w:t xml:space="preserve">V1 – March 2026</w:t>
    </w:r>
  </w:p>
  <w:p>
    <w:pPr>
      <w:pStyle w:val="Footer"/>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ae7f439889f420187b28b342"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000000"/>
                    <w:sz w:val="24"/>
                    <w:szCs w:val="24"/>
                    <w:lang w:val="en-GB" w:eastAsia="en-GB" w:bidi="en-GB"/>
                  </w:rPr>
                </w:pPr>
                <w:r>
                  <w:rPr>
                    <w:rFonts w:ascii="Calibri" w:hAnsi="Calibri" w:eastAsia="Calibri" w:cs="Calibri"/>
                    <w:color w:val="000000"/>
                    <w:sz w:val="24"/>
                    <w:szCs w:val="24"/>
                    <w:lang w:val="en-GB" w:eastAsia="en-GB" w:bidi="en-GB"/>
                  </w:rPr>
                  <w:t xml:space="preserve">OFFICIAL</w:t>
                </w:r>
              </w:p>
            </w:txbxContent>
          </v:textbox>
          <w10:wrap type="none"/>
        </v:shape>
      </w:pict>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rebuchet MS" w:hAnsi="Trebuchet MS" w:eastAsia="Trebuchet MS" w:cs="Trebuchet MS"/>
      <w:b w:val="off"/>
      <w:bCs w:val="off"/>
      <w:i w:val="off"/>
      <w:iCs w:val="off"/>
      <w:caps w:val="off"/>
      <w:smallCaps w:val="off"/>
      <w:strike w:val="off"/>
      <w:color w:val="auto"/>
      <w:spacing w:val="0"/>
      <w:w w:val="100"/>
      <w:position w:val="0"/>
      <w:sz w:val="20"/>
      <w:szCs w:val="20"/>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Heading1">
    <w:name w:val="heading 1"/>
    <w:basedOn w:val="Normal"/>
    <w:next w:val="Normal"/>
    <w:qFormat/>
    <w:pPr>
      <w:keepNext/>
      <w:keepLines/>
      <w:spacing w:before="240"/>
      <w:outlineLvl w:val="0"/>
    </w:pPr>
    <w:rPr>
      <w:rFonts w:ascii="Calibri Light" w:hAnsi="Calibri Light" w:eastAsia="Calibri Light" w:cs="Calibri Light"/>
      <w:color w:val="2E75B5"/>
      <w:sz w:val="32"/>
      <w:szCs w:val="32"/>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CommentText">
    <w:name w:val="annotation text"/>
    <w:basedOn w:val="Normal"/>
    <w:next w:val="CommentText"/>
    <w:qFormat/>
    <w:pPr/>
    <w:rPr>
      <w:lang w:val="en-GB" w:eastAsia="en-GB" w:bidi="en-GB"/>
    </w:rPr>
  </w:style>
  <w:style w:type="paragraph" w:styleId="CommentSubject">
    <w:name w:val="annotation subject"/>
    <w:basedOn w:val="CommentText"/>
    <w:next w:val="CommentText"/>
    <w:qFormat/>
    <w:pPr/>
    <w:rPr>
      <w:b/>
      <w:bCs/>
      <w:lang w:val="en-GB" w:eastAsia="en-GB" w:bidi="en-GB"/>
    </w:rPr>
  </w:style>
  <w:style w:type="paragraph" w:styleId="BalloonText">
    <w:name w:val="Balloon Text"/>
    <w:basedOn w:val="Normal"/>
    <w:next w:val="BalloonText"/>
    <w:qFormat/>
    <w:pPr/>
    <w:rPr>
      <w:rFonts w:ascii="Segoe UI" w:hAnsi="Segoe UI" w:eastAsia="Segoe UI" w:cs="Segoe UI"/>
      <w:sz w:val="18"/>
      <w:szCs w:val="18"/>
      <w:lang w:val="en-GB" w:eastAsia="en-GB" w:bidi="en-GB"/>
    </w:rPr>
  </w:style>
  <w:style w:type="character" w:styleId="CommentReference">
    <w:name w:val="annotation reference"/>
    <w:qFormat/>
    <w:rPr>
      <w:sz w:val="16"/>
      <w:szCs w:val="16"/>
      <w:rtl w:val="off"/>
    </w:rPr>
  </w:style>
  <w:style w:type="character" w:styleId="Comment Text Char" w:customStyle="1">
    <w:name w:val="Comment Text Char"/>
    <w:qFormat/>
    <w:rPr>
      <w:rFonts w:ascii="Trebuchet MS" w:hAnsi="Trebuchet MS" w:eastAsia="Trebuchet MS" w:cs="Trebuchet MS"/>
      <w:sz w:val="20"/>
      <w:szCs w:val="20"/>
      <w:rtl w:val="off"/>
      <w:lang w:val="en-GB" w:eastAsia="en-GB" w:bidi="en-GB"/>
    </w:rPr>
  </w:style>
  <w:style w:type="character" w:styleId="Comment Subject Char" w:customStyle="1">
    <w:name w:val="Comment Subject Char"/>
    <w:basedOn w:val="Comment Text Char"/>
    <w:qFormat/>
    <w:rPr>
      <w:rFonts w:ascii="Trebuchet MS" w:hAnsi="Trebuchet MS" w:eastAsia="Trebuchet MS" w:cs="Trebuchet MS"/>
      <w:b/>
      <w:bCs/>
      <w:sz w:val="20"/>
      <w:szCs w:val="20"/>
      <w:lang w:val="en-GB" w:eastAsia="en-GB" w:bidi="en-GB"/>
    </w:rPr>
  </w:style>
  <w:style w:type="character" w:styleId="Balloon Text Char" w:customStyle="1">
    <w:name w:val="Balloon Text Char"/>
    <w:qFormat/>
    <w:rPr>
      <w:rFonts w:ascii="Segoe UI" w:hAnsi="Segoe UI" w:eastAsia="Segoe UI" w:cs="Segoe UI"/>
      <w:sz w:val="18"/>
      <w:szCs w:val="18"/>
      <w:rtl w:val="off"/>
      <w:lang w:val="en-GB" w:eastAsia="en-GB" w:bidi="en-GB"/>
    </w:rPr>
  </w:style>
  <w:style w:type="character" w:styleId="Hyperlink">
    <w:name w:val="Hyperlink"/>
    <w:qFormat/>
    <w:rPr>
      <w:color w:val="0563C1"/>
      <w:u w:val="single"/>
      <w:rtl w:val="off"/>
    </w:rPr>
  </w:style>
  <w:style w:type="character" w:styleId="FollowedHyperlink">
    <w:name w:val="FollowedHyperlink"/>
    <w:qFormat/>
    <w:rPr>
      <w:color w:val="954F72"/>
      <w:u w:val="single"/>
      <w:rtl w:val="off"/>
    </w:rPr>
  </w:style>
  <w:style w:type="character" w:styleId="PlaceholderText">
    <w:name w:val="Placeholder Text"/>
    <w:qFormat/>
    <w:rPr>
      <w:color w:val="808080"/>
      <w:rtl w:val="off"/>
    </w:rPr>
  </w:style>
  <w:style w:type="character" w:styleId="Header Char" w:customStyle="1">
    <w:name w:val="Header Char"/>
    <w:qFormat/>
    <w:rPr>
      <w:rFonts w:ascii="Trebuchet MS" w:hAnsi="Trebuchet MS" w:eastAsia="Trebuchet MS" w:cs="Trebuchet MS"/>
      <w:sz w:val="20"/>
      <w:szCs w:val="20"/>
      <w:rtl w:val="off"/>
      <w:lang w:val="en-GB" w:eastAsia="en-GB" w:bidi="en-GB"/>
    </w:rPr>
  </w:style>
  <w:style w:type="character" w:styleId="Footer Char" w:customStyle="1">
    <w:name w:val="Footer Char"/>
    <w:qFormat/>
    <w:rPr>
      <w:rFonts w:ascii="Trebuchet MS" w:hAnsi="Trebuchet MS" w:eastAsia="Trebuchet MS" w:cs="Trebuchet MS"/>
      <w:sz w:val="20"/>
      <w:szCs w:val="20"/>
      <w:rtl w:val="off"/>
      <w:lang w:val="en-GB" w:eastAsia="en-GB" w:bidi="en-GB"/>
    </w:rPr>
  </w:style>
  <w:style w:type="character" w:styleId="Heading 1 Char" w:customStyle="1">
    <w:name w:val="Heading 1 Char"/>
    <w:qFormat/>
    <w:rPr>
      <w:rFonts w:ascii="Calibri Light" w:hAnsi="Calibri Light" w:eastAsia="Calibri Light" w:cs="Calibri Light"/>
      <w:color w:val="2E75B5"/>
      <w:sz w:val="32"/>
      <w:szCs w:val="32"/>
      <w:rtl w:val="off"/>
      <w:lang w:val="en-GB" w:eastAsia="en-GB" w:bidi="en-GB"/>
    </w:rPr>
  </w:style>
  <w:style w:type="character" w:styleId="UnresolvedMention">
    <w:name w:val="Unresolved Mention"/>
    <w:qFormat/>
    <w:rPr>
      <w:color w:val="605E5C"/>
      <w:shd w:val="clear" w:color="auto" w:fill="E1DFDD"/>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jpg"/>
	<Relationship Id="rId00011" Type="http://schemas.openxmlformats.org/officeDocument/2006/relationships/image" Target="media/image0006.emf"/>
	<Relationship Id="rId00012" Type="http://schemas.openxmlformats.org/officeDocument/2006/relationships/image" Target="media/image0007.png"/>
	<Relationship Id="rId00015" Type="http://schemas.openxmlformats.org/officeDocument/2006/relationships/numbering" Target="numbering.xml"/>
	<Relationship Id="rId00016" Type="http://schemas.openxmlformats.org/officeDocument/2006/relationships/fontTable" Target="fontTable.xml"/>
	<Relationship Id="rId000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cp:keywords>Policy; HumanResources; HR</cp:keywords>
  <dc:creator>Claire Neary</dc:creator>
  <dcterms:created xsi:type="dcterms:W3CDTF">2026-07-27T09:27:00Z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Order">
    <vt:r8>1934700</vt:r8>
  </property>
  <property fmtid="{D5CDD505-2E9C-101B-9397-08002B2CF9AE}" pid="6" name="MSIP_Label_345a5628-45e9-4ab3-9be1-66b8fee5ba00_Name">
    <vt:lpwstr>Official</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Enabled">
    <vt:lpwstr>true</vt:lpwstr>
  </property>
  <property fmtid="{D5CDD505-2E9C-101B-9397-08002B2CF9AE}" pid="9" name="MSIP_Label_345a5628-45e9-4ab3-9be1-66b8fee5ba00_SiteId">
    <vt:lpwstr>72e022f2-1d7b-48a2-872d-a0ff35f57a8d</vt:lpwstr>
  </property>
  <property fmtid="{D5CDD505-2E9C-101B-9397-08002B2CF9AE}" pid="10" name="ContentTypeId">
    <vt:lpwstr>0x010100228EE3E351D4394D9264A04A23B125F4</vt:lpwstr>
  </property>
  <property fmtid="{D5CDD505-2E9C-101B-9397-08002B2CF9AE}" pid="11" name="TaxKeyword">
    <vt:lpwstr>16;#HumanResources|4d12bdfc-b4e0-423d-bf8a-57bd362b7aec;#15;#HR|aad7a0a4-3f3d-4995-b85d-7931e251579c;#14;#Policy|c03ed4bb-ad84-49a6-bfbe-1721d9a8c699</vt:lpwstr>
  </property>
</Properties>
</file>